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B9F8" w14:textId="06CB0120" w:rsidR="009423B3" w:rsidRDefault="00167384" w:rsidP="0082527C">
      <w:pPr>
        <w:pStyle w:val="Ttulo1"/>
      </w:pPr>
      <w:r>
        <w:t>Propuesta Técnica</w:t>
      </w:r>
      <w:r w:rsidR="004771A5">
        <w:t xml:space="preserve">: </w:t>
      </w:r>
      <w:proofErr w:type="spellStart"/>
      <w:r w:rsidR="004771A5">
        <w:t>Kinitro</w:t>
      </w:r>
      <w:proofErr w:type="spellEnd"/>
      <w:r w:rsidR="004771A5">
        <w:t xml:space="preserve"> SRL</w:t>
      </w:r>
      <w:r w:rsidR="009423B3" w:rsidRPr="009423B3">
        <w:t xml:space="preserve"> </w:t>
      </w:r>
    </w:p>
    <w:p w14:paraId="58BEF78D" w14:textId="36740C2C" w:rsidR="00167384" w:rsidRDefault="009423B3" w:rsidP="0082527C">
      <w:pPr>
        <w:pStyle w:val="Ttulo1"/>
      </w:pPr>
      <w:r w:rsidRPr="009423B3">
        <w:t>Recolección y procesamiento de información en Salud Sexual, Salud Reproductiva</w:t>
      </w:r>
    </w:p>
    <w:p w14:paraId="497CDCD5" w14:textId="77777777" w:rsidR="009423B3" w:rsidRPr="009423B3" w:rsidRDefault="009423B3" w:rsidP="009423B3"/>
    <w:p w14:paraId="23A86240" w14:textId="0050AE88" w:rsidR="0009253F" w:rsidRPr="0009253F" w:rsidRDefault="0009253F" w:rsidP="0009253F">
      <w:pPr>
        <w:pStyle w:val="Prrafodelista"/>
        <w:numPr>
          <w:ilvl w:val="0"/>
          <w:numId w:val="4"/>
        </w:numPr>
        <w:rPr>
          <w:b/>
          <w:bCs/>
        </w:rPr>
      </w:pPr>
      <w:r w:rsidRPr="0009253F">
        <w:rPr>
          <w:b/>
          <w:bCs/>
        </w:rPr>
        <w:t>Antecedentes</w:t>
      </w:r>
    </w:p>
    <w:p w14:paraId="3E1B5139" w14:textId="60D20C1F" w:rsidR="0009253F" w:rsidRPr="0009253F" w:rsidRDefault="0009253F" w:rsidP="00577C49">
      <w:pPr>
        <w:jc w:val="both"/>
        <w:rPr>
          <w:rFonts w:cstheme="minorHAnsi"/>
        </w:rPr>
      </w:pPr>
      <w:r w:rsidRPr="0009253F">
        <w:rPr>
          <w:rFonts w:cstheme="minorHAnsi"/>
        </w:rPr>
        <w:t>Los Derechos Sexuales y Derechos Reproductivos (DSDR) forman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 xml:space="preserve">parte de los Derechos Humanos </w:t>
      </w:r>
      <w:r>
        <w:rPr>
          <w:rFonts w:cstheme="minorHAnsi"/>
        </w:rPr>
        <w:t>fundamentales y</w:t>
      </w:r>
      <w:r w:rsidRPr="0009253F">
        <w:rPr>
          <w:rFonts w:cstheme="minorHAnsi"/>
        </w:rPr>
        <w:t xml:space="preserve"> comprenden el ejercicio de una sexualidad libre,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>placentera y responsable, el respeto a la integridad de las personas,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>a la diversidad, a la vida privada y a las decisiones importantes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>sobre la reproducción.</w:t>
      </w:r>
      <w:r w:rsidR="00577C49">
        <w:rPr>
          <w:rFonts w:cstheme="minorHAnsi"/>
        </w:rPr>
        <w:t xml:space="preserve"> </w:t>
      </w:r>
      <w:r w:rsidRPr="0009253F">
        <w:rPr>
          <w:rFonts w:cstheme="minorHAnsi"/>
        </w:rPr>
        <w:t>La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>sexualidad y la reproducción son aspectos naturales e intrínsecos</w:t>
      </w:r>
      <w:r>
        <w:rPr>
          <w:rFonts w:cstheme="minorHAnsi"/>
        </w:rPr>
        <w:t xml:space="preserve"> </w:t>
      </w:r>
      <w:r w:rsidRPr="0009253F">
        <w:rPr>
          <w:rFonts w:cstheme="minorHAnsi"/>
        </w:rPr>
        <w:t>de la vida</w:t>
      </w:r>
      <w:r w:rsidR="00577C49">
        <w:rPr>
          <w:rFonts w:cstheme="minorHAnsi"/>
        </w:rPr>
        <w:t>.</w:t>
      </w:r>
    </w:p>
    <w:p w14:paraId="30B80F21" w14:textId="6BE45623" w:rsidR="0009253F" w:rsidRDefault="00FE2D3D" w:rsidP="00577C49">
      <w:pPr>
        <w:jc w:val="both"/>
        <w:rPr>
          <w:rFonts w:cstheme="minorHAnsi"/>
        </w:rPr>
      </w:pPr>
      <w:r>
        <w:rPr>
          <w:rFonts w:cstheme="minorHAnsi"/>
        </w:rPr>
        <w:t>L</w:t>
      </w:r>
      <w:r w:rsidR="0009253F" w:rsidRPr="0009253F">
        <w:rPr>
          <w:rFonts w:cstheme="minorHAnsi"/>
        </w:rPr>
        <w:t>a sexualidad no se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limita a una expresión de la genitalidad, que, si bien es una parte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de la dimensión biológica que alude a los procesos fisiológicos y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anatómicos de este concepto, la sexualidad tiene otras dimensiones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como ser la psicológica con sus expresiones intelectual y afectiva, la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dimensión social que depende de cada cultura y su normatividad</w:t>
      </w:r>
      <w:r w:rsidR="0009253F">
        <w:rPr>
          <w:rFonts w:cstheme="minorHAnsi"/>
        </w:rPr>
        <w:t xml:space="preserve"> </w:t>
      </w:r>
      <w:r w:rsidR="0009253F" w:rsidRPr="0009253F">
        <w:rPr>
          <w:rFonts w:cstheme="minorHAnsi"/>
        </w:rPr>
        <w:t>con sus distintas implicaciones en la conducta de las personas</w:t>
      </w:r>
      <w:r>
        <w:rPr>
          <w:rFonts w:cstheme="minorHAnsi"/>
        </w:rPr>
        <w:t>.</w:t>
      </w:r>
      <w:sdt>
        <w:sdtPr>
          <w:rPr>
            <w:rFonts w:cstheme="minorHAnsi"/>
          </w:rPr>
          <w:id w:val="-131103441"/>
          <w:citation/>
        </w:sdtPr>
        <w:sdtContent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 xml:space="preserve">CITATION Fon17 \l 3082 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 xml:space="preserve"> </w:t>
          </w:r>
          <w:r w:rsidRPr="00FE2D3D">
            <w:rPr>
              <w:rFonts w:cstheme="minorHAnsi"/>
              <w:noProof/>
            </w:rPr>
            <w:t>(Fondo de las Nacione Unidas para el Desarrollo UNFPA, 2017)</w:t>
          </w:r>
          <w:r>
            <w:rPr>
              <w:rFonts w:cstheme="minorHAnsi"/>
            </w:rPr>
            <w:fldChar w:fldCharType="end"/>
          </w:r>
        </w:sdtContent>
      </w:sdt>
      <w:r w:rsidR="0009253F">
        <w:rPr>
          <w:rFonts w:cstheme="minorHAnsi"/>
        </w:rPr>
        <w:t xml:space="preserve"> </w:t>
      </w:r>
    </w:p>
    <w:p w14:paraId="1DC45E5B" w14:textId="4BD33371" w:rsidR="00E36749" w:rsidRDefault="00E36749" w:rsidP="00577C49">
      <w:pPr>
        <w:jc w:val="both"/>
        <w:rPr>
          <w:rFonts w:cstheme="minorHAnsi"/>
        </w:rPr>
      </w:pPr>
      <w:r>
        <w:rPr>
          <w:rFonts w:cstheme="minorHAnsi"/>
        </w:rPr>
        <w:t xml:space="preserve">Con relación a Bolivia, con los últimos datos públicos de demografía y salud generados por el Instituto Nacional de Estadística (INE) se puede apreciar que la proporción de mujeres que conocen métodos anticonceptivos (94%) con la que utilizan alguno de ellos (45%) tiene una brecha muy </w:t>
      </w:r>
      <w:r w:rsidR="00EE4403">
        <w:rPr>
          <w:rFonts w:cstheme="minorHAnsi"/>
        </w:rPr>
        <w:t>significativa</w:t>
      </w:r>
      <w:r>
        <w:rPr>
          <w:rFonts w:cstheme="minorHAnsi"/>
        </w:rPr>
        <w:t xml:space="preserve">. Además, la tasa general de fecundidad en mujeres de 15 a 19 años es de 71 por cada mil nacimientos, y, si se realiza la desagregación entre el área urbana y rural los valores alcanzan a 58 y 109 respectivamente. </w:t>
      </w:r>
      <w:r w:rsidR="00EE4403">
        <w:rPr>
          <w:rFonts w:cstheme="minorHAnsi"/>
        </w:rPr>
        <w:t>En total, el 12,6% de este grupo poblacional femenino ya son madres o se encuentran en etapa de gestación.</w:t>
      </w:r>
      <w:sdt>
        <w:sdtPr>
          <w:rPr>
            <w:rFonts w:cstheme="minorHAnsi"/>
          </w:rPr>
          <w:id w:val="582646747"/>
          <w:citation/>
        </w:sdtPr>
        <w:sdtContent>
          <w:r w:rsidR="00EE4403">
            <w:rPr>
              <w:rFonts w:cstheme="minorHAnsi"/>
            </w:rPr>
            <w:fldChar w:fldCharType="begin"/>
          </w:r>
          <w:r w:rsidR="00EE4403">
            <w:rPr>
              <w:rFonts w:cstheme="minorHAnsi"/>
            </w:rPr>
            <w:instrText xml:space="preserve"> CITATION Ins16 \l 3082 </w:instrText>
          </w:r>
          <w:r w:rsidR="00EE4403">
            <w:rPr>
              <w:rFonts w:cstheme="minorHAnsi"/>
            </w:rPr>
            <w:fldChar w:fldCharType="separate"/>
          </w:r>
          <w:r w:rsidR="00EE4403">
            <w:rPr>
              <w:rFonts w:cstheme="minorHAnsi"/>
              <w:noProof/>
            </w:rPr>
            <w:t xml:space="preserve"> </w:t>
          </w:r>
          <w:r w:rsidR="00EE4403" w:rsidRPr="00EE4403">
            <w:rPr>
              <w:rFonts w:cstheme="minorHAnsi"/>
              <w:noProof/>
            </w:rPr>
            <w:t>(Instituto Nacional de Estadística INE, 2016)</w:t>
          </w:r>
          <w:r w:rsidR="00EE4403">
            <w:rPr>
              <w:rFonts w:cstheme="minorHAnsi"/>
            </w:rPr>
            <w:fldChar w:fldCharType="end"/>
          </w:r>
        </w:sdtContent>
      </w:sdt>
    </w:p>
    <w:p w14:paraId="65A8D2CA" w14:textId="4D390861" w:rsidR="00EE4403" w:rsidRPr="0009253F" w:rsidRDefault="00EE4403" w:rsidP="00577C49">
      <w:pPr>
        <w:jc w:val="both"/>
        <w:rPr>
          <w:rFonts w:cstheme="minorHAnsi"/>
        </w:rPr>
      </w:pPr>
      <w:r>
        <w:rPr>
          <w:rFonts w:cstheme="minorHAnsi"/>
        </w:rPr>
        <w:t xml:space="preserve">Así mismo, el 10% de las mujeres entre los 15 y 49 </w:t>
      </w:r>
      <w:proofErr w:type="gramStart"/>
      <w:r>
        <w:rPr>
          <w:rFonts w:cstheme="minorHAnsi"/>
        </w:rPr>
        <w:t>años de edad</w:t>
      </w:r>
      <w:proofErr w:type="gramEnd"/>
      <w:r>
        <w:rPr>
          <w:rFonts w:cstheme="minorHAnsi"/>
        </w:rPr>
        <w:t xml:space="preserve"> en etapa de gestación no recibió atención durante el parto por personal calificado.</w:t>
      </w:r>
      <w:r w:rsidR="001535A5">
        <w:rPr>
          <w:rFonts w:cstheme="minorHAnsi"/>
        </w:rPr>
        <w:t xml:space="preserve"> Por otro lado, </w:t>
      </w:r>
      <w:r w:rsidR="001535A5" w:rsidRPr="001535A5">
        <w:rPr>
          <w:rFonts w:cstheme="minorHAnsi"/>
        </w:rPr>
        <w:t>se calcula</w:t>
      </w:r>
      <w:r w:rsidR="001535A5">
        <w:rPr>
          <w:rFonts w:cstheme="minorHAnsi"/>
        </w:rPr>
        <w:t xml:space="preserve"> que en Bolivia</w:t>
      </w:r>
      <w:r w:rsidR="001535A5" w:rsidRPr="001535A5">
        <w:rPr>
          <w:rFonts w:cstheme="minorHAnsi"/>
        </w:rPr>
        <w:t xml:space="preserve"> un tercio de las muertes maternas se producen a causa de abortos que se producen sin las adecuadas condiciones de higiene y salubridad.</w:t>
      </w:r>
      <w:r w:rsidR="001535A5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763557"/>
          <w:citation/>
        </w:sdtPr>
        <w:sdtContent>
          <w:r w:rsidR="001535A5">
            <w:rPr>
              <w:rFonts w:cstheme="minorHAnsi"/>
            </w:rPr>
            <w:fldChar w:fldCharType="begin"/>
          </w:r>
          <w:r w:rsidR="001535A5">
            <w:rPr>
              <w:rFonts w:cstheme="minorHAnsi"/>
            </w:rPr>
            <w:instrText xml:space="preserve"> CITATION Ali24 \l 3082 </w:instrText>
          </w:r>
          <w:r w:rsidR="001535A5">
            <w:rPr>
              <w:rFonts w:cstheme="minorHAnsi"/>
            </w:rPr>
            <w:fldChar w:fldCharType="separate"/>
          </w:r>
          <w:r w:rsidR="001535A5" w:rsidRPr="001535A5">
            <w:rPr>
              <w:rFonts w:cstheme="minorHAnsi"/>
              <w:noProof/>
            </w:rPr>
            <w:t>(Alianza por la Solidaridad, 2024)</w:t>
          </w:r>
          <w:r w:rsidR="001535A5">
            <w:rPr>
              <w:rFonts w:cstheme="minorHAnsi"/>
            </w:rPr>
            <w:fldChar w:fldCharType="end"/>
          </w:r>
        </w:sdtContent>
      </w:sdt>
    </w:p>
    <w:p w14:paraId="2AC6A063" w14:textId="355DB80D" w:rsidR="00F97EBC" w:rsidRPr="00F97EBC" w:rsidRDefault="00F97EBC" w:rsidP="001535A5">
      <w:pPr>
        <w:jc w:val="both"/>
      </w:pPr>
      <w:r w:rsidRPr="00F97EBC">
        <w:t xml:space="preserve">Por su parte </w:t>
      </w:r>
      <w:proofErr w:type="spellStart"/>
      <w:r w:rsidRPr="00F97EBC">
        <w:t>Ipas</w:t>
      </w:r>
      <w:proofErr w:type="spellEnd"/>
      <w:r w:rsidRPr="00F97EBC">
        <w:t xml:space="preserve"> </w:t>
      </w:r>
      <w:r>
        <w:t xml:space="preserve">trabaja en Bolivia desde 1998 </w:t>
      </w:r>
      <w:r w:rsidRPr="00F97EBC">
        <w:t>con prestadores de servicios de salud públicos para mejorar su capacidad de atención, mediante acciones de capacitación y equipamiento</w:t>
      </w:r>
      <w:r>
        <w:t>,</w:t>
      </w:r>
      <w:r w:rsidRPr="00F97EBC">
        <w:t xml:space="preserve"> asegura</w:t>
      </w:r>
      <w:r>
        <w:t>ndo</w:t>
      </w:r>
      <w:r w:rsidRPr="00F97EBC">
        <w:t xml:space="preserve"> que las mujeres puedan obtener servicios de aborto seguro, que incluyan anticoncepción, orientación y planificación familiar para evitar futuros embarazos no intencionales. </w:t>
      </w:r>
    </w:p>
    <w:p w14:paraId="672B95E7" w14:textId="676A98B9" w:rsidR="0009253F" w:rsidRPr="00F97EBC" w:rsidRDefault="001535A5" w:rsidP="001535A5">
      <w:pPr>
        <w:jc w:val="both"/>
      </w:pPr>
      <w:r>
        <w:t>Así mismo, d</w:t>
      </w:r>
      <w:r w:rsidR="00F97EBC" w:rsidRPr="00F97EBC">
        <w:t xml:space="preserve">esde el año 2022 </w:t>
      </w:r>
      <w:proofErr w:type="spellStart"/>
      <w:r w:rsidR="00F97EBC" w:rsidRPr="00F97EBC">
        <w:t>Ipas</w:t>
      </w:r>
      <w:proofErr w:type="spellEnd"/>
      <w:r w:rsidR="00F97EBC" w:rsidRPr="00F97EBC">
        <w:t xml:space="preserve"> está implementando, con el apoyo de la embajada de Suecia en Bolivia, el proyecto “Aumentar el acceso a la justicia y la atención, incluido el aborto seguro, para las sobrevivientes de violencia sexual y de género (VSG)” </w:t>
      </w:r>
      <w:r>
        <w:t>proyecto que se encuentra en</w:t>
      </w:r>
      <w:r w:rsidR="00F97EBC" w:rsidRPr="00F97EBC">
        <w:t xml:space="preserve"> fase de conclusión </w:t>
      </w:r>
      <w:r>
        <w:t>que requiere</w:t>
      </w:r>
      <w:r w:rsidR="00F97EBC" w:rsidRPr="00F97EBC">
        <w:t xml:space="preserve"> medir</w:t>
      </w:r>
      <w:r>
        <w:t>, a través de una consultoría</w:t>
      </w:r>
      <w:r w:rsidR="00F97EBC" w:rsidRPr="00F97EBC">
        <w:t xml:space="preserve"> los resultados de </w:t>
      </w:r>
      <w:r>
        <w:t>la</w:t>
      </w:r>
      <w:r w:rsidR="00F97EBC" w:rsidRPr="00F97EBC">
        <w:t xml:space="preserve"> intervención con base en encuestas y entrevistas a proveedores de salud y beneficiarios del proyecto. </w:t>
      </w:r>
      <w:sdt>
        <w:sdtPr>
          <w:id w:val="1887141083"/>
          <w:citation/>
        </w:sdtPr>
        <w:sdtContent>
          <w:r w:rsidR="001D358B">
            <w:fldChar w:fldCharType="begin"/>
          </w:r>
          <w:r w:rsidR="001D358B">
            <w:instrText xml:space="preserve"> CITATION Ipa24 \l 3082 </w:instrText>
          </w:r>
          <w:r w:rsidR="001D358B">
            <w:fldChar w:fldCharType="separate"/>
          </w:r>
          <w:r w:rsidR="001D358B">
            <w:rPr>
              <w:noProof/>
            </w:rPr>
            <w:t>(Ipas, 2024)</w:t>
          </w:r>
          <w:r w:rsidR="001D358B">
            <w:fldChar w:fldCharType="end"/>
          </w:r>
        </w:sdtContent>
      </w:sdt>
    </w:p>
    <w:p w14:paraId="55A0EAE4" w14:textId="7ACACAB6" w:rsidR="00167384" w:rsidRDefault="00167384" w:rsidP="00167384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M</w:t>
      </w:r>
      <w:r w:rsidRPr="00167384">
        <w:rPr>
          <w:b/>
          <w:bCs/>
        </w:rPr>
        <w:t>etodología de trabajo</w:t>
      </w:r>
    </w:p>
    <w:p w14:paraId="0860E052" w14:textId="7C0868CF" w:rsidR="00B97904" w:rsidRPr="00B97904" w:rsidRDefault="00B97904" w:rsidP="004771A5">
      <w:pPr>
        <w:jc w:val="both"/>
      </w:pPr>
      <w:r w:rsidRPr="00B97904">
        <w:t>En la metodología del trabajo, se ha previsto realizarla en 5 diferentes etapas</w:t>
      </w:r>
      <w:r w:rsidR="004771A5">
        <w:t>. La primera que es el contacto y la coordinación inicial, seguidamente, el ingreso a los establecimientos de salud, después, la a</w:t>
      </w:r>
      <w:r w:rsidR="004771A5">
        <w:t>plicación de herramientas de investigación en establecimientos de salud</w:t>
      </w:r>
      <w:r w:rsidR="004771A5">
        <w:t>, así mismo, la a</w:t>
      </w:r>
      <w:r w:rsidR="004771A5">
        <w:t xml:space="preserve">plicación de entrevistas a abogados </w:t>
      </w:r>
      <w:r w:rsidR="004771A5" w:rsidRPr="00C862D8">
        <w:t>de la Red de Abogados</w:t>
      </w:r>
      <w:r w:rsidR="004771A5">
        <w:t xml:space="preserve">, </w:t>
      </w:r>
      <w:proofErr w:type="gramStart"/>
      <w:r w:rsidR="004771A5">
        <w:t>y</w:t>
      </w:r>
      <w:proofErr w:type="gramEnd"/>
      <w:r w:rsidR="004771A5">
        <w:t xml:space="preserve"> por último, la a</w:t>
      </w:r>
      <w:r w:rsidR="004771A5">
        <w:t>plicación de entrevistas a Agentes Comunitarios</w:t>
      </w:r>
      <w:r w:rsidR="004771A5">
        <w:t xml:space="preserve">. Estas etapas se </w:t>
      </w:r>
      <w:r w:rsidRPr="00B97904">
        <w:t>detallan a continuación:</w:t>
      </w:r>
    </w:p>
    <w:p w14:paraId="2A289701" w14:textId="75C35BA5" w:rsidR="00FB3BED" w:rsidRDefault="00FB3BED">
      <w:r>
        <w:t>Contacto y coordinación</w:t>
      </w:r>
    </w:p>
    <w:p w14:paraId="563BDCC9" w14:textId="4FA1CDA2" w:rsidR="00FB3BED" w:rsidRDefault="00FB3BED" w:rsidP="00FB3BED">
      <w:pPr>
        <w:pStyle w:val="Prrafodelista"/>
        <w:numPr>
          <w:ilvl w:val="0"/>
          <w:numId w:val="1"/>
        </w:numPr>
      </w:pPr>
      <w:r>
        <w:t>Gestión de contacto con los establecimientos de salud seleccionados (</w:t>
      </w:r>
      <w:proofErr w:type="spellStart"/>
      <w:r>
        <w:t>Ipas</w:t>
      </w:r>
      <w:proofErr w:type="spellEnd"/>
      <w:r>
        <w:t>)</w:t>
      </w:r>
      <w:r w:rsidR="00B02B02">
        <w:t>.</w:t>
      </w:r>
    </w:p>
    <w:p w14:paraId="6765315E" w14:textId="70E0CD50" w:rsidR="00B02B02" w:rsidRDefault="00B02B02" w:rsidP="00FB3BED">
      <w:pPr>
        <w:pStyle w:val="Prrafodelista"/>
        <w:numPr>
          <w:ilvl w:val="0"/>
          <w:numId w:val="1"/>
        </w:numPr>
      </w:pPr>
      <w:r>
        <w:t>Solicitud de credenciales de identificación para el trabajo en campo.</w:t>
      </w:r>
    </w:p>
    <w:p w14:paraId="643645B3" w14:textId="3F2DE930" w:rsidR="00FB3BED" w:rsidRDefault="00FB3BED" w:rsidP="00FB3BED">
      <w:pPr>
        <w:pStyle w:val="Prrafodelista"/>
        <w:numPr>
          <w:ilvl w:val="0"/>
          <w:numId w:val="1"/>
        </w:numPr>
      </w:pPr>
      <w:r>
        <w:t xml:space="preserve">Contacto </w:t>
      </w:r>
      <w:r w:rsidR="00B02B02">
        <w:t>y</w:t>
      </w:r>
      <w:r>
        <w:t xml:space="preserve"> coordinación con los</w:t>
      </w:r>
      <w:r w:rsidR="00505BB2">
        <w:t xml:space="preserve"> o las directoras de los</w:t>
      </w:r>
      <w:r>
        <w:t xml:space="preserve"> establecimientos de salud</w:t>
      </w:r>
      <w:r w:rsidR="00B02B02">
        <w:t xml:space="preserve">, abogados y agentes comunitarios </w:t>
      </w:r>
      <w:r>
        <w:t>(</w:t>
      </w:r>
      <w:r w:rsidR="00B02B02">
        <w:t>por parte</w:t>
      </w:r>
      <w:r>
        <w:t xml:space="preserve"> de la empresa consultora)</w:t>
      </w:r>
      <w:r w:rsidR="00B02B02">
        <w:t>.</w:t>
      </w:r>
    </w:p>
    <w:p w14:paraId="6383327D" w14:textId="0698F2F2" w:rsidR="00505BB2" w:rsidRDefault="00505BB2" w:rsidP="00505BB2">
      <w:pPr>
        <w:pStyle w:val="Prrafodelista"/>
        <w:numPr>
          <w:ilvl w:val="0"/>
          <w:numId w:val="1"/>
        </w:numPr>
      </w:pPr>
      <w:r>
        <w:t>Solicitud de consentimiento del levantamiento de información por escrito (carta/correo electrónico).</w:t>
      </w:r>
    </w:p>
    <w:p w14:paraId="7409E8CC" w14:textId="77777777" w:rsidR="00ED0101" w:rsidRDefault="00FB3BED" w:rsidP="00ED0101">
      <w:pPr>
        <w:pStyle w:val="Prrafodelista"/>
        <w:numPr>
          <w:ilvl w:val="0"/>
          <w:numId w:val="1"/>
        </w:numPr>
      </w:pPr>
      <w:r>
        <w:t xml:space="preserve">Solicitud de preparación de logística (fijación de fechas y de horarios de recolección de información, 5 </w:t>
      </w:r>
      <w:r w:rsidRPr="00FB3BED">
        <w:t>médicos generales y especialistas que trabajan en el área de ginecología</w:t>
      </w:r>
      <w:r>
        <w:t xml:space="preserve"> de ambos turnos de cada establecimiento de salud para encuestas, un </w:t>
      </w:r>
      <w:r w:rsidRPr="00FB3BED">
        <w:t xml:space="preserve">médico, abogados miembros de la Red de Abogados de </w:t>
      </w:r>
      <w:proofErr w:type="spellStart"/>
      <w:r w:rsidRPr="00FB3BED">
        <w:t>Ipas</w:t>
      </w:r>
      <w:proofErr w:type="spellEnd"/>
      <w:r w:rsidRPr="00FB3BED">
        <w:t xml:space="preserve"> y Agentes comunitarios aliados</w:t>
      </w:r>
      <w:r>
        <w:t xml:space="preserve"> para desarrollar las entrevistas en profundidad)</w:t>
      </w:r>
      <w:r w:rsidRPr="00FB3BED">
        <w:t>.</w:t>
      </w:r>
    </w:p>
    <w:p w14:paraId="0C4CEF8C" w14:textId="277B916D" w:rsidR="00ED0101" w:rsidRDefault="00ED0101" w:rsidP="00ED0101">
      <w:pPr>
        <w:pStyle w:val="Prrafodelista"/>
        <w:numPr>
          <w:ilvl w:val="0"/>
          <w:numId w:val="1"/>
        </w:numPr>
      </w:pPr>
      <w:r>
        <w:t xml:space="preserve">Consentimiento informado sobre: </w:t>
      </w:r>
      <w:r>
        <w:t>(</w:t>
      </w:r>
      <w:r>
        <w:t>i</w:t>
      </w:r>
      <w:r>
        <w:t>) el propósito y los métodos del estudio, (</w:t>
      </w:r>
      <w:proofErr w:type="spellStart"/>
      <w:r>
        <w:t>ii</w:t>
      </w:r>
      <w:proofErr w:type="spellEnd"/>
      <w:r>
        <w:t>) los procedimientos para proteger su confidencialidad, (</w:t>
      </w:r>
      <w:proofErr w:type="spellStart"/>
      <w:r>
        <w:t>iii</w:t>
      </w:r>
      <w:proofErr w:type="spellEnd"/>
      <w:r>
        <w:t>) sus derechos a retirarse del estudio en cualquier momento, (</w:t>
      </w:r>
      <w:proofErr w:type="spellStart"/>
      <w:r>
        <w:t>iv</w:t>
      </w:r>
      <w:proofErr w:type="spellEnd"/>
      <w:r>
        <w:t>) el hecho de que su participación o falta de ella no afectará ningún derecho laboral</w:t>
      </w:r>
      <w:r>
        <w:t>,</w:t>
      </w:r>
      <w:r>
        <w:t xml:space="preserve"> (</w:t>
      </w:r>
      <w:r>
        <w:t>v</w:t>
      </w:r>
      <w:r>
        <w:t>) las personas con las que pueden ponerse en contacto si tienen alguna pregunta sobre el estudio después de completar la entrevista.</w:t>
      </w:r>
    </w:p>
    <w:p w14:paraId="0B4536E7" w14:textId="7E8E7BF9" w:rsidR="00FB3BED" w:rsidRDefault="00505BB2" w:rsidP="00505BB2">
      <w:r>
        <w:t>Ingreso de los establecimientos de salud</w:t>
      </w:r>
    </w:p>
    <w:p w14:paraId="7E010661" w14:textId="21DDCD0C" w:rsidR="00505BB2" w:rsidRDefault="00505BB2" w:rsidP="00B97904">
      <w:pPr>
        <w:pStyle w:val="Prrafodelista"/>
        <w:numPr>
          <w:ilvl w:val="0"/>
          <w:numId w:val="8"/>
        </w:numPr>
      </w:pPr>
      <w:r>
        <w:t>Desplazamiento e ingreso a las ciudades seleccionadas en el estudio.</w:t>
      </w:r>
    </w:p>
    <w:p w14:paraId="6308E18C" w14:textId="4377E7ED" w:rsidR="00505BB2" w:rsidRDefault="00505BB2" w:rsidP="00B97904">
      <w:pPr>
        <w:pStyle w:val="Prrafodelista"/>
        <w:numPr>
          <w:ilvl w:val="0"/>
          <w:numId w:val="8"/>
        </w:numPr>
      </w:pPr>
      <w:r>
        <w:t>Ingreso a los establecimientos de salud.</w:t>
      </w:r>
    </w:p>
    <w:p w14:paraId="4E0257BC" w14:textId="77777777" w:rsidR="00505BB2" w:rsidRDefault="00505BB2" w:rsidP="00B97904">
      <w:pPr>
        <w:pStyle w:val="Prrafodelista"/>
        <w:numPr>
          <w:ilvl w:val="0"/>
          <w:numId w:val="8"/>
        </w:numPr>
      </w:pPr>
      <w:r>
        <w:t>Explicación del objetivo de la encuesta y la entrevista a los participantes.</w:t>
      </w:r>
    </w:p>
    <w:p w14:paraId="03BE1427" w14:textId="321E2F23" w:rsidR="00505BB2" w:rsidRDefault="00505BB2" w:rsidP="00B97904">
      <w:pPr>
        <w:pStyle w:val="Prrafodelista"/>
        <w:numPr>
          <w:ilvl w:val="0"/>
          <w:numId w:val="8"/>
        </w:numPr>
      </w:pPr>
      <w:r>
        <w:t>Invitación a la participación de forma anónima y voluntaria.</w:t>
      </w:r>
    </w:p>
    <w:p w14:paraId="40AA6348" w14:textId="582EE54B" w:rsidR="003E3302" w:rsidRDefault="003E3302" w:rsidP="00B97904">
      <w:pPr>
        <w:pStyle w:val="Prrafodelista"/>
        <w:numPr>
          <w:ilvl w:val="0"/>
          <w:numId w:val="8"/>
        </w:numPr>
      </w:pPr>
      <w:r>
        <w:t>Obtención de consentimiento de las personas a participar del estudio.</w:t>
      </w:r>
    </w:p>
    <w:p w14:paraId="4BA6765E" w14:textId="6BA3AA9F" w:rsidR="00505BB2" w:rsidRDefault="00505BB2" w:rsidP="00505BB2">
      <w:r>
        <w:t xml:space="preserve">Aplicación de herramientas de investigación </w:t>
      </w:r>
      <w:r w:rsidR="00C862D8">
        <w:t>en establecimientos de salud</w:t>
      </w:r>
    </w:p>
    <w:p w14:paraId="45E41C72" w14:textId="3B5E10FB" w:rsidR="00505BB2" w:rsidRDefault="00505BB2" w:rsidP="00B97904">
      <w:pPr>
        <w:pStyle w:val="Prrafodelista"/>
        <w:numPr>
          <w:ilvl w:val="0"/>
          <w:numId w:val="7"/>
        </w:numPr>
      </w:pPr>
      <w:r>
        <w:t>Entrega encuestas al personal seleccionado.</w:t>
      </w:r>
    </w:p>
    <w:p w14:paraId="794A1C41" w14:textId="79EBB88D" w:rsidR="00505BB2" w:rsidRDefault="00505BB2" w:rsidP="00B97904">
      <w:pPr>
        <w:pStyle w:val="Prrafodelista"/>
        <w:numPr>
          <w:ilvl w:val="0"/>
          <w:numId w:val="7"/>
        </w:numPr>
      </w:pPr>
      <w:r>
        <w:t>Solicitud de ubicación separada y respuesta individual del personal.</w:t>
      </w:r>
    </w:p>
    <w:p w14:paraId="119C4D9B" w14:textId="33436B47" w:rsidR="00505BB2" w:rsidRDefault="00505BB2" w:rsidP="00B97904">
      <w:pPr>
        <w:pStyle w:val="Prrafodelista"/>
        <w:numPr>
          <w:ilvl w:val="0"/>
          <w:numId w:val="7"/>
        </w:numPr>
      </w:pPr>
      <w:r>
        <w:t>Recojo de encuestas y almacenamiento seguro.</w:t>
      </w:r>
    </w:p>
    <w:p w14:paraId="7612DC65" w14:textId="61C6098C" w:rsidR="00505BB2" w:rsidRDefault="00505BB2" w:rsidP="00B97904">
      <w:pPr>
        <w:pStyle w:val="Prrafodelista"/>
        <w:numPr>
          <w:ilvl w:val="0"/>
          <w:numId w:val="7"/>
        </w:numPr>
      </w:pPr>
      <w:r>
        <w:t>Selección de ubicación privada y segura para la aplicación de la entrevista.</w:t>
      </w:r>
    </w:p>
    <w:p w14:paraId="2BE37B83" w14:textId="50A11742" w:rsidR="00505BB2" w:rsidRDefault="003E3302" w:rsidP="00B97904">
      <w:pPr>
        <w:pStyle w:val="Prrafodelista"/>
        <w:numPr>
          <w:ilvl w:val="0"/>
          <w:numId w:val="7"/>
        </w:numPr>
      </w:pPr>
      <w:r>
        <w:t>Realización de la entrevista y grabación.</w:t>
      </w:r>
    </w:p>
    <w:p w14:paraId="1FA0D0E8" w14:textId="20DD33B9" w:rsidR="003E3302" w:rsidRDefault="003E3302" w:rsidP="00B97904">
      <w:pPr>
        <w:pStyle w:val="Prrafodelista"/>
        <w:numPr>
          <w:ilvl w:val="0"/>
          <w:numId w:val="7"/>
        </w:numPr>
      </w:pPr>
      <w:r>
        <w:t xml:space="preserve">Entrega de reconocimiento de </w:t>
      </w:r>
      <w:proofErr w:type="spellStart"/>
      <w:r>
        <w:t>Ipas</w:t>
      </w:r>
      <w:proofErr w:type="spellEnd"/>
      <w:r>
        <w:t xml:space="preserve"> a los participantes.</w:t>
      </w:r>
    </w:p>
    <w:p w14:paraId="18830B96" w14:textId="5057E376" w:rsidR="00505BB2" w:rsidRDefault="00C862D8" w:rsidP="00505BB2">
      <w:r>
        <w:t xml:space="preserve">Aplicación de entrevistas a abogados </w:t>
      </w:r>
      <w:r w:rsidRPr="00C862D8">
        <w:t xml:space="preserve">de la Red de Abogados </w:t>
      </w:r>
      <w:proofErr w:type="gramStart"/>
      <w:r w:rsidRPr="00C862D8">
        <w:t>pro bono</w:t>
      </w:r>
      <w:proofErr w:type="gramEnd"/>
      <w:r w:rsidRPr="00C862D8">
        <w:t xml:space="preserve"> de </w:t>
      </w:r>
      <w:proofErr w:type="spellStart"/>
      <w:r w:rsidRPr="00C862D8">
        <w:t>Ipas</w:t>
      </w:r>
      <w:proofErr w:type="spellEnd"/>
    </w:p>
    <w:p w14:paraId="07B9E86E" w14:textId="77777777" w:rsidR="00C862D8" w:rsidRDefault="00C862D8" w:rsidP="00B97904">
      <w:pPr>
        <w:pStyle w:val="Prrafodelista"/>
        <w:numPr>
          <w:ilvl w:val="0"/>
          <w:numId w:val="6"/>
        </w:numPr>
      </w:pPr>
      <w:r>
        <w:t>Invitación a la participación de forma anónima y voluntaria.</w:t>
      </w:r>
    </w:p>
    <w:p w14:paraId="53E79ED4" w14:textId="26E95782" w:rsidR="00C862D8" w:rsidRDefault="00C862D8" w:rsidP="00B97904">
      <w:pPr>
        <w:pStyle w:val="Prrafodelista"/>
        <w:numPr>
          <w:ilvl w:val="0"/>
          <w:numId w:val="6"/>
        </w:numPr>
      </w:pPr>
      <w:r>
        <w:t xml:space="preserve">Obtención de consentimiento de </w:t>
      </w:r>
      <w:r>
        <w:t>cada abogado.</w:t>
      </w:r>
    </w:p>
    <w:p w14:paraId="7A44B73B" w14:textId="4EC7BEAC" w:rsidR="00C862D8" w:rsidRDefault="00C862D8" w:rsidP="00B97904">
      <w:pPr>
        <w:pStyle w:val="Prrafodelista"/>
        <w:numPr>
          <w:ilvl w:val="0"/>
          <w:numId w:val="6"/>
        </w:numPr>
      </w:pPr>
      <w:r>
        <w:t>Programación de entrevista presencial, telefónica o virtual.</w:t>
      </w:r>
    </w:p>
    <w:p w14:paraId="3BE75513" w14:textId="77777777" w:rsidR="00C862D8" w:rsidRDefault="00C862D8" w:rsidP="00B97904">
      <w:pPr>
        <w:pStyle w:val="Prrafodelista"/>
        <w:numPr>
          <w:ilvl w:val="0"/>
          <w:numId w:val="6"/>
        </w:numPr>
      </w:pPr>
      <w:r>
        <w:t>Realización de la entrevista y grabación.</w:t>
      </w:r>
    </w:p>
    <w:p w14:paraId="48B3878C" w14:textId="59EEAA4B" w:rsidR="00C862D8" w:rsidRDefault="00C862D8" w:rsidP="00B97904">
      <w:pPr>
        <w:pStyle w:val="Prrafodelista"/>
        <w:numPr>
          <w:ilvl w:val="0"/>
          <w:numId w:val="6"/>
        </w:numPr>
      </w:pPr>
      <w:r>
        <w:t xml:space="preserve">Entrega de reconocimiento de </w:t>
      </w:r>
      <w:proofErr w:type="spellStart"/>
      <w:r>
        <w:t>Ipas</w:t>
      </w:r>
      <w:proofErr w:type="spellEnd"/>
      <w:r>
        <w:t>.</w:t>
      </w:r>
    </w:p>
    <w:p w14:paraId="3AF4BCF4" w14:textId="1F8613CB" w:rsidR="00C862D8" w:rsidRDefault="00C862D8" w:rsidP="00C862D8">
      <w:r>
        <w:lastRenderedPageBreak/>
        <w:t>Aplicación de entrevistas</w:t>
      </w:r>
      <w:r>
        <w:t xml:space="preserve"> a Agentes Comunitarios</w:t>
      </w:r>
    </w:p>
    <w:p w14:paraId="4BC3FF9A" w14:textId="77777777" w:rsidR="00C862D8" w:rsidRDefault="00C862D8" w:rsidP="00C862D8">
      <w:pPr>
        <w:pStyle w:val="Prrafodelista"/>
        <w:numPr>
          <w:ilvl w:val="0"/>
          <w:numId w:val="3"/>
        </w:numPr>
      </w:pPr>
      <w:r>
        <w:t>Invitación a la participación de forma anónima y voluntaria.</w:t>
      </w:r>
    </w:p>
    <w:p w14:paraId="3931A5C4" w14:textId="3374BDD6" w:rsidR="00C862D8" w:rsidRDefault="00C862D8" w:rsidP="00C862D8">
      <w:pPr>
        <w:pStyle w:val="Prrafodelista"/>
        <w:numPr>
          <w:ilvl w:val="0"/>
          <w:numId w:val="3"/>
        </w:numPr>
      </w:pPr>
      <w:r>
        <w:t xml:space="preserve">Obtención de consentimiento de cada </w:t>
      </w:r>
      <w:r>
        <w:t>Agente comunitario.</w:t>
      </w:r>
    </w:p>
    <w:p w14:paraId="40B11C7B" w14:textId="77777777" w:rsidR="00C862D8" w:rsidRDefault="00C862D8" w:rsidP="00C862D8">
      <w:pPr>
        <w:pStyle w:val="Prrafodelista"/>
        <w:numPr>
          <w:ilvl w:val="0"/>
          <w:numId w:val="3"/>
        </w:numPr>
      </w:pPr>
      <w:r>
        <w:t>Programación de entrevista presencial, telefónica o virtual.</w:t>
      </w:r>
    </w:p>
    <w:p w14:paraId="659E7113" w14:textId="77777777" w:rsidR="00C862D8" w:rsidRDefault="00C862D8" w:rsidP="00C862D8">
      <w:pPr>
        <w:pStyle w:val="Prrafodelista"/>
        <w:numPr>
          <w:ilvl w:val="0"/>
          <w:numId w:val="3"/>
        </w:numPr>
      </w:pPr>
      <w:r>
        <w:t>Realización de la entrevista y grabación.</w:t>
      </w:r>
    </w:p>
    <w:p w14:paraId="0A64D04E" w14:textId="000F6814" w:rsidR="00C862D8" w:rsidRDefault="00C862D8" w:rsidP="00C862D8">
      <w:pPr>
        <w:pStyle w:val="Prrafodelista"/>
        <w:numPr>
          <w:ilvl w:val="0"/>
          <w:numId w:val="3"/>
        </w:numPr>
      </w:pPr>
      <w:r>
        <w:t xml:space="preserve">Entrega de reconocimiento de </w:t>
      </w:r>
      <w:proofErr w:type="spellStart"/>
      <w:r>
        <w:t>Ipa</w:t>
      </w:r>
      <w:proofErr w:type="spellEnd"/>
      <w:r w:rsidR="00CB166D">
        <w:t xml:space="preserve"> </w:t>
      </w:r>
      <w:r>
        <w:t>s.</w:t>
      </w:r>
    </w:p>
    <w:p w14:paraId="60FA96D6" w14:textId="3E75DE38" w:rsidR="00167384" w:rsidRDefault="00167384" w:rsidP="00C862D8"/>
    <w:p w14:paraId="4AA18E8C" w14:textId="45B7EB4F" w:rsidR="00167384" w:rsidRDefault="00167384" w:rsidP="00167384">
      <w:pPr>
        <w:pStyle w:val="Prrafodelista"/>
        <w:numPr>
          <w:ilvl w:val="0"/>
          <w:numId w:val="4"/>
        </w:numPr>
        <w:rPr>
          <w:b/>
          <w:bCs/>
        </w:rPr>
      </w:pPr>
      <w:r w:rsidRPr="00167384">
        <w:rPr>
          <w:b/>
          <w:bCs/>
        </w:rPr>
        <w:t>C</w:t>
      </w:r>
      <w:r w:rsidRPr="00167384">
        <w:rPr>
          <w:b/>
          <w:bCs/>
        </w:rPr>
        <w:t>aracterísticas de los productos entregables</w:t>
      </w:r>
    </w:p>
    <w:p w14:paraId="20D3838A" w14:textId="0B9B1BC9" w:rsidR="00C02410" w:rsidRPr="000527AB" w:rsidRDefault="000527AB" w:rsidP="00CB166D">
      <w:pPr>
        <w:jc w:val="both"/>
      </w:pPr>
      <w:r w:rsidRPr="000527AB">
        <w:t xml:space="preserve">Las </w:t>
      </w:r>
      <w:r>
        <w:t>características del estudio determinan que tiene un enfoque mixto, cualitativo y cuantitativo</w:t>
      </w:r>
      <w:r w:rsidR="00CB166D">
        <w:t>, que, como resultado, describirá la idea central, que resumirá los resultados encontrados, en una primera sección y, posteriormente, se reportará los resultados a detalle.</w:t>
      </w:r>
    </w:p>
    <w:p w14:paraId="2C0CBA5D" w14:textId="0A65E2C6" w:rsidR="004340A4" w:rsidRDefault="00771202" w:rsidP="00C02410">
      <w:pPr>
        <w:jc w:val="both"/>
      </w:pPr>
      <w:r>
        <w:t>Encuestas</w:t>
      </w:r>
      <w:r w:rsidR="002E69D6">
        <w:t xml:space="preserve">: </w:t>
      </w:r>
      <w:r w:rsidR="00812552">
        <w:t xml:space="preserve">Las encuestas </w:t>
      </w:r>
      <w:r w:rsidR="000522F0">
        <w:t xml:space="preserve">serán procesadas y sistematizadas en una base de datos en un archivo Stata y otro en Excel. </w:t>
      </w:r>
      <w:r w:rsidR="004340A4">
        <w:t xml:space="preserve">Es decir, los datos serán codificados, transferidos y guardados en un archivo, precisando los parámetros en la matriz de datos, para posteriormente ser analizados </w:t>
      </w:r>
      <w:r w:rsidR="00DD5DC0">
        <w:t xml:space="preserve">y organizados </w:t>
      </w:r>
      <w:r w:rsidR="004340A4">
        <w:t>en función a las variables del estudio.</w:t>
      </w:r>
    </w:p>
    <w:p w14:paraId="4D86BBF7" w14:textId="5B7BF043" w:rsidR="00167384" w:rsidRDefault="000522F0" w:rsidP="00C02410">
      <w:pPr>
        <w:jc w:val="both"/>
      </w:pPr>
      <w:r>
        <w:t>Así mismo, se describirán los descubrimientos producidos los resultados encontrados</w:t>
      </w:r>
      <w:r w:rsidR="003D332A">
        <w:t xml:space="preserve"> y las conclusiones</w:t>
      </w:r>
      <w:r>
        <w:t xml:space="preserve">. Además, se </w:t>
      </w:r>
      <w:r w:rsidR="00C02410">
        <w:t>generarán</w:t>
      </w:r>
      <w:r>
        <w:t xml:space="preserve"> tablas, gráficos, cuadros y diagramas necesarios o requeridos por la contraparte de </w:t>
      </w:r>
      <w:proofErr w:type="spellStart"/>
      <w:r>
        <w:t>Ipas</w:t>
      </w:r>
      <w:proofErr w:type="spellEnd"/>
      <w:r>
        <w:t xml:space="preserve">. </w:t>
      </w:r>
    </w:p>
    <w:p w14:paraId="4935F0BD" w14:textId="626FAFA5" w:rsidR="003D332A" w:rsidRDefault="003D332A" w:rsidP="00C02410">
      <w:pPr>
        <w:jc w:val="both"/>
      </w:pPr>
      <w:r>
        <w:t>Además, se describirá el contexto en el que se desarrollaron las encuestas, como el lugar, el horario, la participación, la disponibilidad y disposición en cada uno de los establecimientos de salud</w:t>
      </w:r>
      <w:r w:rsidR="00BF3ADC">
        <w:t>. También, se describirá brevemente si existieron limitaciones o contratiempos que evitaron la realización planificada del levantamiento de información.</w:t>
      </w:r>
      <w:r>
        <w:t xml:space="preserve"> </w:t>
      </w:r>
    </w:p>
    <w:p w14:paraId="1710158C" w14:textId="270F82AC" w:rsidR="00771202" w:rsidRDefault="00771202" w:rsidP="00B97904">
      <w:pPr>
        <w:jc w:val="both"/>
      </w:pPr>
      <w:r>
        <w:t>Entrevistas</w:t>
      </w:r>
      <w:r w:rsidR="002E69D6">
        <w:t xml:space="preserve">: </w:t>
      </w:r>
      <w:r w:rsidR="00B97904">
        <w:t>Debido que las entrevistas ya fueron diseñadas de manera preliminar, se procederá a repasar y comprender con claridad cada una de las preguntas y el propósito de estas, de modo que el levantamiento de información sea los más preciso posible. Para esto es necesario comprender el objeto y el propósito definido de esta herramienta.</w:t>
      </w:r>
    </w:p>
    <w:p w14:paraId="5E515793" w14:textId="56AAADCB" w:rsidR="00B97904" w:rsidRDefault="00B97904" w:rsidP="00B97904">
      <w:pPr>
        <w:jc w:val="both"/>
      </w:pPr>
      <w:r>
        <w:t>Por su parte</w:t>
      </w:r>
      <w:r>
        <w:t xml:space="preserve">, </w:t>
      </w:r>
      <w:r>
        <w:t xml:space="preserve">toda la información será grabada, transcrita, procesada y analizada, dando como resultado </w:t>
      </w:r>
      <w:r>
        <w:t xml:space="preserve">los resultados </w:t>
      </w:r>
      <w:r>
        <w:t>hallados</w:t>
      </w:r>
      <w:r>
        <w:t xml:space="preserve"> y las conclusiones. Además, se generarán </w:t>
      </w:r>
      <w:r>
        <w:t>mapas mentales</w:t>
      </w:r>
      <w:r>
        <w:t xml:space="preserve">, gráficos, cuadros </w:t>
      </w:r>
      <w:r>
        <w:t>que sean necesarios y complementen y faciliten la compresión de la información recolectada</w:t>
      </w:r>
      <w:r>
        <w:t xml:space="preserve">. </w:t>
      </w:r>
    </w:p>
    <w:p w14:paraId="3E5DFA14" w14:textId="3BA67AE2" w:rsidR="00167384" w:rsidRPr="004E2E93" w:rsidRDefault="00771202" w:rsidP="00167384">
      <w:pPr>
        <w:pStyle w:val="Prrafodelista"/>
        <w:numPr>
          <w:ilvl w:val="0"/>
          <w:numId w:val="4"/>
        </w:numPr>
        <w:rPr>
          <w:b/>
          <w:bCs/>
        </w:rPr>
      </w:pPr>
      <w:r w:rsidRPr="004E2E93">
        <w:rPr>
          <w:b/>
          <w:bCs/>
        </w:rPr>
        <w:t>C</w:t>
      </w:r>
      <w:r w:rsidRPr="004E2E93">
        <w:rPr>
          <w:b/>
          <w:bCs/>
        </w:rPr>
        <w:t>apacidad de contar con equipo técnico en los departamentos seleccionados</w:t>
      </w:r>
      <w:r w:rsidRPr="004E2E93">
        <w:rPr>
          <w:b/>
          <w:bCs/>
        </w:rPr>
        <w:t>.</w:t>
      </w:r>
    </w:p>
    <w:p w14:paraId="335C83E7" w14:textId="2329EED1" w:rsidR="004E2E93" w:rsidRDefault="004E2E93" w:rsidP="009423B3">
      <w:pPr>
        <w:jc w:val="both"/>
      </w:pPr>
      <w:r>
        <w:t>El equipo técnico está compuesto por</w:t>
      </w:r>
      <w:r w:rsidR="009423B3">
        <w:t xml:space="preserve"> 6 personas,</w:t>
      </w:r>
      <w:r>
        <w:t xml:space="preserve"> dos</w:t>
      </w:r>
      <w:r w:rsidR="009423B3">
        <w:t xml:space="preserve"> de las cuales serán los responsables </w:t>
      </w:r>
      <w:r>
        <w:t xml:space="preserve">de realizar el estudio, los cuales radican en las ciudades de La Paz y Santa Cruz. Entre </w:t>
      </w:r>
      <w:r w:rsidR="009423B3">
        <w:t xml:space="preserve">todas estas </w:t>
      </w:r>
      <w:r>
        <w:t>personas se distribuirá la carga laboral específica del estudio de la siguiente forma:</w:t>
      </w:r>
    </w:p>
    <w:tbl>
      <w:tblPr>
        <w:tblStyle w:val="Tabladelista3-nfasis1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9423B3" w14:paraId="435C1B9F" w14:textId="71919967" w:rsidTr="00942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14:paraId="04740C0E" w14:textId="2F6A601C" w:rsidR="009423B3" w:rsidRPr="004E2E93" w:rsidRDefault="009423B3" w:rsidP="004E2E93">
            <w:pPr>
              <w:jc w:val="center"/>
            </w:pPr>
            <w:r w:rsidRPr="004E2E93">
              <w:t>Consultor</w:t>
            </w:r>
          </w:p>
        </w:tc>
        <w:tc>
          <w:tcPr>
            <w:tcW w:w="6662" w:type="dxa"/>
          </w:tcPr>
          <w:p w14:paraId="79B6EDD7" w14:textId="57AD896E" w:rsidR="009423B3" w:rsidRPr="004E2E93" w:rsidRDefault="009423B3" w:rsidP="004E2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2E93">
              <w:t>Departamentos</w:t>
            </w:r>
          </w:p>
        </w:tc>
      </w:tr>
      <w:tr w:rsidR="009423B3" w14:paraId="332DD2A9" w14:textId="79CF40D2" w:rsidTr="00942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9C7269" w14:textId="34CF9837" w:rsidR="009423B3" w:rsidRDefault="009423B3" w:rsidP="004E2E93">
            <w:r>
              <w:t>Especialista 1</w:t>
            </w:r>
          </w:p>
        </w:tc>
        <w:tc>
          <w:tcPr>
            <w:tcW w:w="6662" w:type="dxa"/>
          </w:tcPr>
          <w:p w14:paraId="1EF6B1E6" w14:textId="4C23AF9B" w:rsidR="009423B3" w:rsidRDefault="009423B3" w:rsidP="004E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Paz, Oruro</w:t>
            </w:r>
            <w:r w:rsidR="006D2978">
              <w:t xml:space="preserve"> </w:t>
            </w:r>
            <w:r w:rsidR="006D2978">
              <w:t>y Potosí</w:t>
            </w:r>
          </w:p>
        </w:tc>
      </w:tr>
      <w:tr w:rsidR="009423B3" w14:paraId="6F5B4630" w14:textId="791396E6" w:rsidTr="00942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F75F1A" w14:textId="3A4BB037" w:rsidR="009423B3" w:rsidRDefault="009423B3" w:rsidP="004E2E93">
            <w:r>
              <w:t>Especialista 2</w:t>
            </w:r>
          </w:p>
        </w:tc>
        <w:tc>
          <w:tcPr>
            <w:tcW w:w="6662" w:type="dxa"/>
          </w:tcPr>
          <w:p w14:paraId="7F90E74B" w14:textId="3722BA4E" w:rsidR="009423B3" w:rsidRDefault="009423B3" w:rsidP="004E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Cochabamba </w:t>
            </w:r>
          </w:p>
        </w:tc>
      </w:tr>
      <w:tr w:rsidR="009423B3" w14:paraId="51C148C3" w14:textId="77777777" w:rsidTr="00942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37C7A65" w14:textId="464CD78D" w:rsidR="009423B3" w:rsidRDefault="009423B3" w:rsidP="004E2E93">
            <w:r>
              <w:t>Investigador/a 1</w:t>
            </w:r>
          </w:p>
        </w:tc>
        <w:tc>
          <w:tcPr>
            <w:tcW w:w="6662" w:type="dxa"/>
          </w:tcPr>
          <w:p w14:paraId="29703C2D" w14:textId="65CBD12D" w:rsidR="009423B3" w:rsidRDefault="009423B3" w:rsidP="004E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Cruz y Beni</w:t>
            </w:r>
          </w:p>
        </w:tc>
      </w:tr>
      <w:tr w:rsidR="009423B3" w14:paraId="21AF0667" w14:textId="77777777" w:rsidTr="00942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114670" w14:textId="0CF60E6C" w:rsidR="009423B3" w:rsidRDefault="009423B3" w:rsidP="004E2E93">
            <w:r>
              <w:t>Investigador</w:t>
            </w:r>
            <w:r>
              <w:t>/</w:t>
            </w:r>
            <w:r>
              <w:t xml:space="preserve">a </w:t>
            </w:r>
            <w:r>
              <w:t>2</w:t>
            </w:r>
          </w:p>
        </w:tc>
        <w:tc>
          <w:tcPr>
            <w:tcW w:w="6662" w:type="dxa"/>
          </w:tcPr>
          <w:p w14:paraId="54C84294" w14:textId="79B673D6" w:rsidR="009423B3" w:rsidRDefault="009423B3" w:rsidP="004E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Pando</w:t>
            </w:r>
          </w:p>
        </w:tc>
      </w:tr>
      <w:tr w:rsidR="009423B3" w14:paraId="1D78FF84" w14:textId="77777777" w:rsidTr="00942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AE689B" w14:textId="569402AD" w:rsidR="009423B3" w:rsidRDefault="009423B3" w:rsidP="004E2E93">
            <w:r>
              <w:t>Investigador</w:t>
            </w:r>
            <w:r>
              <w:t>/</w:t>
            </w:r>
            <w:r>
              <w:t xml:space="preserve">a </w:t>
            </w:r>
            <w:r>
              <w:t>3</w:t>
            </w:r>
          </w:p>
        </w:tc>
        <w:tc>
          <w:tcPr>
            <w:tcW w:w="6662" w:type="dxa"/>
          </w:tcPr>
          <w:p w14:paraId="3AEFD2DB" w14:textId="132C8AB0" w:rsidR="009423B3" w:rsidRDefault="009423B3" w:rsidP="004E2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Tarija</w:t>
            </w:r>
          </w:p>
        </w:tc>
      </w:tr>
      <w:tr w:rsidR="009423B3" w14:paraId="319201F8" w14:textId="77777777" w:rsidTr="00942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EF2A44" w14:textId="07377E98" w:rsidR="009423B3" w:rsidRDefault="009423B3" w:rsidP="004E2E93">
            <w:r>
              <w:t>Investigador</w:t>
            </w:r>
            <w:r>
              <w:t>/</w:t>
            </w:r>
            <w:r>
              <w:t xml:space="preserve">a </w:t>
            </w:r>
            <w:r>
              <w:t>4</w:t>
            </w:r>
          </w:p>
        </w:tc>
        <w:tc>
          <w:tcPr>
            <w:tcW w:w="6662" w:type="dxa"/>
          </w:tcPr>
          <w:p w14:paraId="03355F34" w14:textId="7102BFEF" w:rsidR="009423B3" w:rsidRDefault="009423B3" w:rsidP="004E2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Chuquisaca</w:t>
            </w:r>
          </w:p>
        </w:tc>
      </w:tr>
    </w:tbl>
    <w:p w14:paraId="76D25272" w14:textId="77777777" w:rsidR="002E69D6" w:rsidRDefault="002E69D6" w:rsidP="00E027A6">
      <w:pPr>
        <w:jc w:val="both"/>
      </w:pPr>
    </w:p>
    <w:p w14:paraId="45D99E09" w14:textId="0755BF29" w:rsidR="0082527C" w:rsidRDefault="0082527C" w:rsidP="00E027A6">
      <w:pPr>
        <w:jc w:val="both"/>
      </w:pPr>
      <w:r>
        <w:lastRenderedPageBreak/>
        <w:t xml:space="preserve">Para el caso de la consultora especialista 1, que también es representante de la empresa consultora, se ha considerado la asignación de </w:t>
      </w:r>
      <w:r w:rsidR="009423B3">
        <w:t>2</w:t>
      </w:r>
      <w:r>
        <w:t xml:space="preserve"> ciudades, incluyendo la de El Alto y </w:t>
      </w:r>
      <w:r w:rsidR="009423B3">
        <w:t>Oruro</w:t>
      </w:r>
      <w:r>
        <w:t xml:space="preserve">. Por su parte, el consultor especialista 2 estará desplegado </w:t>
      </w:r>
      <w:r w:rsidR="009423B3">
        <w:t>los departamentos de Cochabamba (Quillacollo) y Potosí. En el caso de la investigadora 1, se hará cargo de los departamentos de Santa Cruz y Beni. Los investigadores de los otros departamentos se harán cargo de las otras ciudades respectivamente.</w:t>
      </w:r>
    </w:p>
    <w:p w14:paraId="346C9D4A" w14:textId="1EB92D0A" w:rsidR="00921339" w:rsidRDefault="00921339" w:rsidP="00E027A6">
      <w:pPr>
        <w:jc w:val="both"/>
      </w:pPr>
      <w:r>
        <w:t xml:space="preserve">En </w:t>
      </w:r>
      <w:r w:rsidR="009423B3">
        <w:t>todos los</w:t>
      </w:r>
      <w:r>
        <w:t xml:space="preserve"> casos, el personal se desplazará por los territorios asignados y procederá con la aplicación de la metodología del estudio. </w:t>
      </w:r>
    </w:p>
    <w:p w14:paraId="407BD1B4" w14:textId="77777777" w:rsidR="0082527C" w:rsidRDefault="0082527C" w:rsidP="00771202">
      <w:pPr>
        <w:pStyle w:val="Prrafodelista"/>
      </w:pPr>
    </w:p>
    <w:p w14:paraId="26D027D1" w14:textId="1650FA7E" w:rsidR="00771202" w:rsidRDefault="00771202" w:rsidP="00167384">
      <w:pPr>
        <w:pStyle w:val="Prrafodelista"/>
        <w:numPr>
          <w:ilvl w:val="0"/>
          <w:numId w:val="4"/>
        </w:numPr>
        <w:rPr>
          <w:b/>
          <w:bCs/>
        </w:rPr>
      </w:pPr>
      <w:r w:rsidRPr="00B97904">
        <w:rPr>
          <w:b/>
          <w:bCs/>
        </w:rPr>
        <w:t>Experiencia general y especifica del personal</w:t>
      </w:r>
      <w:r w:rsidRPr="00B97904">
        <w:rPr>
          <w:b/>
          <w:bCs/>
        </w:rPr>
        <w:t>.</w:t>
      </w:r>
    </w:p>
    <w:p w14:paraId="44F97BC0" w14:textId="63D956A2" w:rsidR="006D0459" w:rsidRPr="006D0459" w:rsidRDefault="006D0459" w:rsidP="006D0459">
      <w:r w:rsidRPr="006D0459">
        <w:t>A continuación, se presenta</w:t>
      </w:r>
      <w:r>
        <w:t>, de manera resumida,</w:t>
      </w:r>
      <w:r w:rsidRPr="006D0459">
        <w:t xml:space="preserve"> l</w:t>
      </w:r>
      <w:r>
        <w:t>a experiencia general de los responsables del equipo consultor:</w:t>
      </w:r>
    </w:p>
    <w:tbl>
      <w:tblPr>
        <w:tblStyle w:val="Tabladelista3-nfasis1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3425B3" w:rsidRPr="004E2E93" w14:paraId="7883804C" w14:textId="77777777" w:rsidTr="006D0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77738CCB" w14:textId="3F282BFE" w:rsidR="003425B3" w:rsidRPr="004E2E93" w:rsidRDefault="003425B3" w:rsidP="0088110A">
            <w:pPr>
              <w:jc w:val="center"/>
            </w:pPr>
            <w:r w:rsidRPr="004E2E93">
              <w:t>Consultor</w:t>
            </w:r>
            <w:r w:rsidR="006D0459">
              <w:t>/a</w:t>
            </w:r>
          </w:p>
        </w:tc>
        <w:tc>
          <w:tcPr>
            <w:tcW w:w="6945" w:type="dxa"/>
          </w:tcPr>
          <w:p w14:paraId="26ED4BD9" w14:textId="1B695174" w:rsidR="003425B3" w:rsidRPr="004E2E93" w:rsidRDefault="006D0459" w:rsidP="00881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Experiencia</w:t>
            </w:r>
          </w:p>
        </w:tc>
      </w:tr>
      <w:tr w:rsidR="003425B3" w14:paraId="7BDCA037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DDD3DA" w14:textId="77777777" w:rsidR="003425B3" w:rsidRDefault="003425B3" w:rsidP="0088110A">
            <w:r>
              <w:t>Especialista 1</w:t>
            </w:r>
          </w:p>
        </w:tc>
        <w:tc>
          <w:tcPr>
            <w:tcW w:w="6945" w:type="dxa"/>
          </w:tcPr>
          <w:p w14:paraId="4D446F12" w14:textId="77777777" w:rsidR="006D0459" w:rsidRPr="006D0459" w:rsidRDefault="006D0459" w:rsidP="006D0459">
            <w:pPr>
              <w:pStyle w:val="Textoindependiente"/>
              <w:spacing w:before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/>
                <w:sz w:val="22"/>
                <w:szCs w:val="22"/>
              </w:rPr>
              <w:t>Más de 30 años de experiencia de trabajo con:</w:t>
            </w:r>
          </w:p>
          <w:p w14:paraId="5565F003" w14:textId="77777777" w:rsidR="006D0459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ONGs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PADEM, UNITAS,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Practical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Action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Savia, Líder, APROSAR, INASET, Fundación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Kaa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Iya, Plan Internacional,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Save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Children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, Centro de Promoción de la Mujer Gregoria Apaza, Centro Juana Azurduy, Visión Mundial y otras.</w:t>
            </w:r>
          </w:p>
          <w:p w14:paraId="42B58133" w14:textId="77777777" w:rsidR="006D0459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organizaciones de pueblos indígenas: en San Matías, San José de Chiquitos, Charagua, departamento de Pando, departamento de Santa Cruz y otros. </w:t>
            </w:r>
          </w:p>
          <w:p w14:paraId="482A60C3" w14:textId="77777777" w:rsidR="006D0459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organizaciones de productores urbanos y rurales en todo el país.</w:t>
            </w:r>
          </w:p>
          <w:p w14:paraId="44152FEE" w14:textId="09BE4170" w:rsidR="003425B3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Asociaciones de personas con discapacidad y familiares.</w:t>
            </w:r>
          </w:p>
        </w:tc>
      </w:tr>
      <w:tr w:rsidR="003425B3" w14:paraId="70A3801A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FB4741" w14:textId="77777777" w:rsidR="003425B3" w:rsidRDefault="003425B3" w:rsidP="0088110A">
            <w:r>
              <w:t>Especialista 2</w:t>
            </w:r>
          </w:p>
        </w:tc>
        <w:tc>
          <w:tcPr>
            <w:tcW w:w="6945" w:type="dxa"/>
          </w:tcPr>
          <w:p w14:paraId="6AB29D0D" w14:textId="77777777" w:rsidR="006D0459" w:rsidRPr="006D0459" w:rsidRDefault="006D0459" w:rsidP="006D0459">
            <w:pPr>
              <w:pStyle w:val="Textoindependiente"/>
              <w:spacing w:before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/>
                <w:sz w:val="22"/>
                <w:szCs w:val="22"/>
              </w:rPr>
              <w:t>7 años de experiencia de trabajo con:</w:t>
            </w:r>
          </w:p>
          <w:p w14:paraId="613FE1D9" w14:textId="77777777" w:rsidR="006D0459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Organizaciones Públicas: Ministerio de Planificación del Desarrollo/ Gobiernos Departamentales y Municipales / Servicio Departamental de Salud / Servicios Legales Integrales Municipales (SLIM)</w:t>
            </w:r>
          </w:p>
          <w:p w14:paraId="6AC831C6" w14:textId="77777777" w:rsidR="006D0459" w:rsidRPr="006D0459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ONGs</w:t>
            </w:r>
            <w:proofErr w:type="spellEnd"/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: Programa de Apoyo a la Democracia Municipal (PADEM).</w:t>
            </w:r>
          </w:p>
          <w:p w14:paraId="17E96A66" w14:textId="4EA9C6FE" w:rsidR="003425B3" w:rsidRDefault="006D0459" w:rsidP="006D0459">
            <w:pPr>
              <w:pStyle w:val="Textoindependiente"/>
              <w:numPr>
                <w:ilvl w:val="0"/>
                <w:numId w:val="9"/>
              </w:numPr>
              <w:spacing w:before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0459">
              <w:rPr>
                <w:rFonts w:asciiTheme="minorHAnsi" w:hAnsiTheme="minorHAnsi" w:cstheme="minorHAnsi"/>
                <w:bCs/>
                <w:sz w:val="22"/>
                <w:szCs w:val="22"/>
              </w:rPr>
              <w:t>Organismos de Cooperación Internacional: PNUD, FAO, UNFPA, PMA, ONU Mujeres, UNICEF, Unión Europea, GIZ, KOICA, AECID.</w:t>
            </w:r>
          </w:p>
        </w:tc>
      </w:tr>
    </w:tbl>
    <w:p w14:paraId="1942D32B" w14:textId="77777777" w:rsidR="003425B3" w:rsidRDefault="003425B3" w:rsidP="003425B3">
      <w:pPr>
        <w:rPr>
          <w:b/>
          <w:bCs/>
        </w:rPr>
      </w:pPr>
    </w:p>
    <w:p w14:paraId="7F60F424" w14:textId="67D9D1BF" w:rsidR="006D0459" w:rsidRDefault="006D0459" w:rsidP="003425B3">
      <w:r w:rsidRPr="006D0459">
        <w:t xml:space="preserve">Así mismo, </w:t>
      </w:r>
      <w:r>
        <w:t>esta información se encuentra de manera detallada en los currículos adjuntos con la propuesta.</w:t>
      </w:r>
    </w:p>
    <w:p w14:paraId="6E78DAA9" w14:textId="2860F3FB" w:rsidR="006D0459" w:rsidRPr="006D0459" w:rsidRDefault="006D0459" w:rsidP="003425B3">
      <w:r>
        <w:t xml:space="preserve">Por su parte, también se agrega el currículo institucional de la empresa consultora </w:t>
      </w:r>
      <w:proofErr w:type="spellStart"/>
      <w:r>
        <w:t>Kinitro</w:t>
      </w:r>
      <w:proofErr w:type="spellEnd"/>
      <w:r>
        <w:t xml:space="preserve"> SRL: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1556"/>
        <w:gridCol w:w="3542"/>
        <w:gridCol w:w="1308"/>
        <w:gridCol w:w="1471"/>
      </w:tblGrid>
      <w:tr w:rsidR="004771A5" w:rsidRPr="00550735" w14:paraId="1FC01B40" w14:textId="77777777" w:rsidTr="003425B3">
        <w:trPr>
          <w:tblHeader/>
          <w:jc w:val="center"/>
        </w:trPr>
        <w:tc>
          <w:tcPr>
            <w:tcW w:w="363" w:type="pct"/>
            <w:shd w:val="clear" w:color="auto" w:fill="4472C4" w:themeFill="accent1"/>
            <w:vAlign w:val="center"/>
          </w:tcPr>
          <w:p w14:paraId="5276994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proofErr w:type="spellStart"/>
            <w:r w:rsidRPr="00550735">
              <w:rPr>
                <w:rFonts w:cstheme="minorHAnsi"/>
                <w:b/>
                <w:color w:val="FFFFFF" w:themeColor="background1"/>
                <w:sz w:val="20"/>
              </w:rPr>
              <w:t>Nº</w:t>
            </w:r>
            <w:proofErr w:type="spellEnd"/>
          </w:p>
        </w:tc>
        <w:tc>
          <w:tcPr>
            <w:tcW w:w="916" w:type="pct"/>
            <w:shd w:val="clear" w:color="auto" w:fill="4472C4" w:themeFill="accent1"/>
            <w:vAlign w:val="center"/>
          </w:tcPr>
          <w:p w14:paraId="2AE25D2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550735">
              <w:rPr>
                <w:rFonts w:cstheme="minorHAnsi"/>
                <w:b/>
                <w:color w:val="FFFFFF" w:themeColor="background1"/>
                <w:sz w:val="20"/>
              </w:rPr>
              <w:t>Cliente</w:t>
            </w:r>
          </w:p>
        </w:tc>
        <w:tc>
          <w:tcPr>
            <w:tcW w:w="2085" w:type="pct"/>
            <w:shd w:val="clear" w:color="auto" w:fill="4472C4" w:themeFill="accent1"/>
            <w:vAlign w:val="center"/>
          </w:tcPr>
          <w:p w14:paraId="491C9BC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550735">
              <w:rPr>
                <w:rFonts w:cstheme="minorHAnsi"/>
                <w:b/>
                <w:color w:val="FFFFFF" w:themeColor="background1"/>
                <w:sz w:val="20"/>
              </w:rPr>
              <w:t xml:space="preserve">Descripción 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de los servicios</w:t>
            </w:r>
          </w:p>
        </w:tc>
        <w:tc>
          <w:tcPr>
            <w:tcW w:w="770" w:type="pct"/>
            <w:shd w:val="clear" w:color="auto" w:fill="4472C4" w:themeFill="accent1"/>
            <w:vAlign w:val="center"/>
          </w:tcPr>
          <w:p w14:paraId="698FF4E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550735">
              <w:rPr>
                <w:rFonts w:cstheme="minorHAnsi"/>
                <w:b/>
                <w:color w:val="FFFFFF" w:themeColor="background1"/>
                <w:sz w:val="20"/>
              </w:rPr>
              <w:t>Inicio</w:t>
            </w:r>
          </w:p>
        </w:tc>
        <w:tc>
          <w:tcPr>
            <w:tcW w:w="866" w:type="pct"/>
            <w:shd w:val="clear" w:color="auto" w:fill="4472C4" w:themeFill="accent1"/>
            <w:vAlign w:val="center"/>
          </w:tcPr>
          <w:p w14:paraId="52B25DA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550735">
              <w:rPr>
                <w:rFonts w:cstheme="minorHAnsi"/>
                <w:b/>
                <w:color w:val="FFFFFF" w:themeColor="background1"/>
                <w:sz w:val="20"/>
              </w:rPr>
              <w:t>Conclusión</w:t>
            </w:r>
          </w:p>
        </w:tc>
      </w:tr>
      <w:tr w:rsidR="004771A5" w:rsidRPr="00550735" w14:paraId="3FA6B070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7E22D9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</w:t>
            </w:r>
          </w:p>
          <w:p w14:paraId="2AFB83F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0E02AEF1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lang w:val="es-BO"/>
              </w:rPr>
              <w:t>Practical</w:t>
            </w:r>
            <w:proofErr w:type="spellEnd"/>
            <w:r>
              <w:rPr>
                <w:rFonts w:cstheme="minorHAnsi"/>
                <w:color w:val="000000"/>
                <w:sz w:val="20"/>
                <w:lang w:val="es-BO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0"/>
                <w:lang w:val="es-BO"/>
              </w:rPr>
              <w:t>Action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17FE11F8" w14:textId="77777777" w:rsidR="004771A5" w:rsidRPr="003D00ED" w:rsidRDefault="004771A5" w:rsidP="0088110A">
            <w:pPr>
              <w:rPr>
                <w:rFonts w:cstheme="minorHAnsi"/>
                <w:sz w:val="20"/>
              </w:rPr>
            </w:pPr>
            <w:r w:rsidRPr="003D00ED">
              <w:rPr>
                <w:rFonts w:cstheme="minorHAnsi"/>
                <w:sz w:val="20"/>
              </w:rPr>
              <w:t>Fortalecimiento de capacidades y desarrollo de una guía para la integración de género e</w:t>
            </w:r>
          </w:p>
          <w:p w14:paraId="09041656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3D00ED">
              <w:rPr>
                <w:rFonts w:cstheme="minorHAnsi"/>
                <w:sz w:val="20"/>
              </w:rPr>
              <w:t xml:space="preserve">inclusión social (en sistemas de </w:t>
            </w:r>
            <w:r>
              <w:rPr>
                <w:rFonts w:cstheme="minorHAnsi"/>
                <w:sz w:val="20"/>
              </w:rPr>
              <w:t>MRV</w:t>
            </w:r>
            <w:r w:rsidRPr="003D00ED">
              <w:rPr>
                <w:rFonts w:cstheme="minorHAnsi"/>
                <w:sz w:val="20"/>
              </w:rPr>
              <w:t xml:space="preserve"> del sector AFOLU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770" w:type="pct"/>
          </w:tcPr>
          <w:p w14:paraId="7CD9A06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06/03/2024</w:t>
            </w:r>
          </w:p>
        </w:tc>
        <w:tc>
          <w:tcPr>
            <w:tcW w:w="866" w:type="pct"/>
          </w:tcPr>
          <w:p w14:paraId="43EB945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29/03/2024</w:t>
            </w:r>
          </w:p>
        </w:tc>
      </w:tr>
      <w:tr w:rsidR="004771A5" w:rsidRPr="00550735" w14:paraId="3141FDE6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8CB829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</w:p>
          <w:p w14:paraId="325CD24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2DFB293C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lastRenderedPageBreak/>
              <w:t>PNUD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1769B4EC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 xml:space="preserve">Desarrollar una investigación exploratoria cualitativa y cuantitativa que permita un </w:t>
            </w:r>
            <w:r w:rsidRPr="00550735">
              <w:rPr>
                <w:rFonts w:cstheme="minorHAnsi"/>
                <w:sz w:val="20"/>
              </w:rPr>
              <w:lastRenderedPageBreak/>
              <w:t>mayor conocimiento sobre las dinámicas de los emprendimientos/empresas de 1-10 trabajadores, con menos de 10 años de vida y liderados por mujeres, en tres sectores con mayor concentración de empleo informal en las ciudades de La Paz, El Alto, Santa Cruz y Cochabamba.</w:t>
            </w:r>
          </w:p>
        </w:tc>
        <w:tc>
          <w:tcPr>
            <w:tcW w:w="770" w:type="pct"/>
          </w:tcPr>
          <w:p w14:paraId="4D4E783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lastRenderedPageBreak/>
              <w:t>02/09/2022</w:t>
            </w:r>
          </w:p>
        </w:tc>
        <w:tc>
          <w:tcPr>
            <w:tcW w:w="866" w:type="pct"/>
          </w:tcPr>
          <w:p w14:paraId="5666651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21/12/2022</w:t>
            </w:r>
          </w:p>
        </w:tc>
      </w:tr>
      <w:tr w:rsidR="004771A5" w:rsidRPr="00550735" w14:paraId="5D29883B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BB63DC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</w:t>
            </w:r>
          </w:p>
          <w:p w14:paraId="296C608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3DC09441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PNUD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200460B3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Consultoría para diseñar, implementar y sistematizar un proceso participativo para identificar y definir soluciones adaptadas a necesidades de un grupo de mujeres cuentapropistas con el objetivo de mejorar las condiciones y/o capacidades de acceso a servicios financieros y no financieros</w:t>
            </w:r>
          </w:p>
        </w:tc>
        <w:tc>
          <w:tcPr>
            <w:tcW w:w="770" w:type="pct"/>
          </w:tcPr>
          <w:p w14:paraId="62FE79C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25/01/2022</w:t>
            </w:r>
          </w:p>
        </w:tc>
        <w:tc>
          <w:tcPr>
            <w:tcW w:w="866" w:type="pct"/>
          </w:tcPr>
          <w:p w14:paraId="5791F34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28/02/2022</w:t>
            </w:r>
          </w:p>
          <w:p w14:paraId="152F931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6704C3BB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D5C1AD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4</w:t>
            </w:r>
          </w:p>
          <w:p w14:paraId="717EC16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26CDC28A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PNUD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3EACFE60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Georreferenciación de servicios de cuidado a nivel estatal y local en las 9 ciudades capitales y El Alto</w:t>
            </w:r>
          </w:p>
        </w:tc>
        <w:tc>
          <w:tcPr>
            <w:tcW w:w="770" w:type="pct"/>
          </w:tcPr>
          <w:p w14:paraId="0DA7855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01/08/2021</w:t>
            </w:r>
          </w:p>
        </w:tc>
        <w:tc>
          <w:tcPr>
            <w:tcW w:w="866" w:type="pct"/>
          </w:tcPr>
          <w:p w14:paraId="6EB313A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15/10/2021</w:t>
            </w:r>
          </w:p>
        </w:tc>
      </w:tr>
      <w:tr w:rsidR="004771A5" w:rsidRPr="00550735" w14:paraId="47B99F7B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CD5B84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5</w:t>
            </w:r>
          </w:p>
          <w:p w14:paraId="6E0B190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3ACB8226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PNUD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2C4CC199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Diagnóstico de calidad de programas y actividades de servicios de cuidado a nivel estatal y privado en las 9 ciudades capitales departamentales y El Alto</w:t>
            </w:r>
          </w:p>
          <w:p w14:paraId="17ABE39A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</w:p>
        </w:tc>
        <w:tc>
          <w:tcPr>
            <w:tcW w:w="770" w:type="pct"/>
          </w:tcPr>
          <w:p w14:paraId="3847365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22/02/2021</w:t>
            </w:r>
          </w:p>
        </w:tc>
        <w:tc>
          <w:tcPr>
            <w:tcW w:w="866" w:type="pct"/>
          </w:tcPr>
          <w:p w14:paraId="1EFC14E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21/05/2021</w:t>
            </w:r>
          </w:p>
        </w:tc>
      </w:tr>
      <w:tr w:rsidR="004771A5" w:rsidRPr="00550735" w14:paraId="60E1AC10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727FDD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6</w:t>
            </w:r>
          </w:p>
          <w:p w14:paraId="1440DD0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176BD519" w14:textId="77777777" w:rsidR="004771A5" w:rsidRPr="00550735" w:rsidRDefault="004771A5" w:rsidP="0088110A">
            <w:pPr>
              <w:spacing w:before="120" w:after="120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1EDAD01D" w14:textId="77777777" w:rsidR="004771A5" w:rsidRPr="00DC5C34" w:rsidRDefault="004771A5" w:rsidP="0088110A">
            <w:pPr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sz w:val="20"/>
              </w:rPr>
              <w:t xml:space="preserve">Guía de </w:t>
            </w:r>
            <w:r w:rsidRPr="00DC5C34">
              <w:rPr>
                <w:rFonts w:cstheme="minorHAnsi"/>
                <w:iCs/>
                <w:sz w:val="20"/>
              </w:rPr>
              <w:t>Transferencia de fortalecimiento institucional</w:t>
            </w:r>
            <w:r w:rsidRPr="00DC5C34">
              <w:rPr>
                <w:rFonts w:cstheme="minorHAnsi"/>
                <w:sz w:val="20"/>
              </w:rPr>
              <w:t xml:space="preserve"> para incidencia y promoción de la política pública en el sector de medio ambiente y agua con enfoque en grupos vulnerables.</w:t>
            </w:r>
          </w:p>
        </w:tc>
        <w:tc>
          <w:tcPr>
            <w:tcW w:w="770" w:type="pct"/>
          </w:tcPr>
          <w:p w14:paraId="4B6EAC9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01/12/18</w:t>
            </w:r>
          </w:p>
        </w:tc>
        <w:tc>
          <w:tcPr>
            <w:tcW w:w="866" w:type="pct"/>
          </w:tcPr>
          <w:p w14:paraId="6FDF342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30/12/18</w:t>
            </w:r>
          </w:p>
        </w:tc>
      </w:tr>
      <w:tr w:rsidR="004771A5" w:rsidRPr="00550735" w14:paraId="7C0C4F84" w14:textId="77777777" w:rsidTr="0088110A">
        <w:trPr>
          <w:trHeight w:val="67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92DC9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7</w:t>
            </w:r>
          </w:p>
          <w:p w14:paraId="39268E7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17332DE4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21743715" w14:textId="77777777" w:rsidR="004771A5" w:rsidRPr="00DC5C34" w:rsidRDefault="004771A5" w:rsidP="0088110A">
            <w:pPr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sz w:val="20"/>
              </w:rPr>
              <w:t>Sistematización del Plan Nacional de Cuencas en el marco la política nacional de medio ambiente, lecciones aprendidas y buenas prácticas.</w:t>
            </w:r>
          </w:p>
        </w:tc>
        <w:tc>
          <w:tcPr>
            <w:tcW w:w="770" w:type="pct"/>
          </w:tcPr>
          <w:p w14:paraId="0271DD6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26/07/18</w:t>
            </w:r>
          </w:p>
        </w:tc>
        <w:tc>
          <w:tcPr>
            <w:tcW w:w="866" w:type="pct"/>
          </w:tcPr>
          <w:p w14:paraId="6547517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22/01/19</w:t>
            </w:r>
          </w:p>
        </w:tc>
      </w:tr>
      <w:tr w:rsidR="004771A5" w:rsidRPr="00550735" w14:paraId="6AD76A20" w14:textId="77777777" w:rsidTr="0088110A">
        <w:trPr>
          <w:trHeight w:val="70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F53684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8</w:t>
            </w:r>
          </w:p>
          <w:p w14:paraId="3DD41FD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0DD76AC8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1C283A0C" w14:textId="77777777" w:rsidR="004771A5" w:rsidRPr="00DC5C34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color w:val="000000"/>
                <w:sz w:val="20"/>
                <w:lang w:val="es-BO"/>
              </w:rPr>
              <w:t xml:space="preserve">Misión de </w:t>
            </w:r>
            <w:proofErr w:type="spellStart"/>
            <w:r w:rsidRPr="00DC5C34">
              <w:rPr>
                <w:rFonts w:cstheme="minorHAnsi"/>
                <w:color w:val="000000"/>
                <w:sz w:val="20"/>
                <w:lang w:val="es-BO"/>
              </w:rPr>
              <w:t>Backstopping</w:t>
            </w:r>
            <w:proofErr w:type="spellEnd"/>
            <w:r w:rsidRPr="00DC5C34">
              <w:rPr>
                <w:rFonts w:cstheme="minorHAnsi"/>
                <w:color w:val="000000"/>
                <w:sz w:val="20"/>
                <w:lang w:val="es-BO"/>
              </w:rPr>
              <w:t xml:space="preserve"> Proyecto del Lago</w:t>
            </w:r>
          </w:p>
          <w:p w14:paraId="4E47AB76" w14:textId="77777777" w:rsidR="004771A5" w:rsidRPr="00DC5C34" w:rsidRDefault="004771A5" w:rsidP="0088110A">
            <w:pPr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iCs/>
                <w:sz w:val="20"/>
              </w:rPr>
              <w:t>Diagnóstico organizacional y de género en 12 municipios de la cuenca del Lago Titicaca</w:t>
            </w:r>
            <w:r w:rsidRPr="00DC5C34">
              <w:rPr>
                <w:rFonts w:cstheme="minorHAnsi"/>
                <w:sz w:val="20"/>
              </w:rPr>
              <w:t xml:space="preserve">. </w:t>
            </w:r>
          </w:p>
        </w:tc>
        <w:tc>
          <w:tcPr>
            <w:tcW w:w="770" w:type="pct"/>
          </w:tcPr>
          <w:p w14:paraId="2E89A43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26/06/17</w:t>
            </w:r>
          </w:p>
        </w:tc>
        <w:tc>
          <w:tcPr>
            <w:tcW w:w="866" w:type="pct"/>
          </w:tcPr>
          <w:p w14:paraId="716C828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14/07/17</w:t>
            </w:r>
          </w:p>
        </w:tc>
      </w:tr>
      <w:tr w:rsidR="004771A5" w:rsidRPr="00550735" w14:paraId="7288A5C9" w14:textId="77777777" w:rsidTr="0088110A">
        <w:trPr>
          <w:trHeight w:val="719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650F30C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  <w:p w14:paraId="12CE41F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9</w:t>
            </w:r>
          </w:p>
          <w:p w14:paraId="0DC48EA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 w:val="restart"/>
          </w:tcPr>
          <w:p w14:paraId="48A03BF5" w14:textId="77777777" w:rsidR="004771A5" w:rsidRPr="00550735" w:rsidRDefault="004771A5" w:rsidP="0088110A">
            <w:pPr>
              <w:spacing w:before="120" w:after="120"/>
              <w:rPr>
                <w:rFonts w:cstheme="minorHAnsi"/>
                <w:bCs/>
                <w:sz w:val="20"/>
              </w:rPr>
            </w:pPr>
            <w:r w:rsidRPr="00550735">
              <w:rPr>
                <w:rFonts w:cstheme="minorHAnsi"/>
                <w:bCs/>
                <w:sz w:val="20"/>
              </w:rPr>
              <w:t xml:space="preserve">Programa de Pequeñas Donaciones GEF/PNUD 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462909CF" w14:textId="77777777" w:rsidR="004771A5" w:rsidRPr="00DC5C34" w:rsidRDefault="004771A5" w:rsidP="0088110A">
            <w:pPr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sz w:val="20"/>
              </w:rPr>
              <w:t>Elaboración de cinco estrategias de resiliencia socio ecológica productiva en áreas protegidas para su conservación, elaboradas participativamente</w:t>
            </w:r>
          </w:p>
        </w:tc>
        <w:tc>
          <w:tcPr>
            <w:tcW w:w="770" w:type="pct"/>
            <w:vMerge w:val="restart"/>
            <w:vAlign w:val="center"/>
          </w:tcPr>
          <w:p w14:paraId="2F6A21F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01/08/2017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15A4E8E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05/01/2018</w:t>
            </w:r>
          </w:p>
        </w:tc>
      </w:tr>
      <w:tr w:rsidR="004771A5" w:rsidRPr="00550735" w14:paraId="64D10C93" w14:textId="77777777" w:rsidTr="0088110A">
        <w:trPr>
          <w:trHeight w:val="719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F4CFA1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</w:tcPr>
          <w:p w14:paraId="47243288" w14:textId="77777777" w:rsidR="004771A5" w:rsidRPr="00550735" w:rsidRDefault="004771A5" w:rsidP="0088110A">
            <w:pPr>
              <w:spacing w:before="120" w:after="120"/>
              <w:rPr>
                <w:rFonts w:cstheme="minorHAnsi"/>
                <w:bCs/>
                <w:sz w:val="20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52B358F5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 xml:space="preserve">Sistematización del proceso de levantamiento de los indicadores y el relacionamiento de los indicadores de </w:t>
            </w:r>
            <w:r w:rsidRPr="00550735">
              <w:rPr>
                <w:rFonts w:cstheme="minorHAnsi"/>
                <w:sz w:val="20"/>
              </w:rPr>
              <w:lastRenderedPageBreak/>
              <w:t>resiliencia con los del PPD, UNDAF y PDES.</w:t>
            </w:r>
          </w:p>
        </w:tc>
        <w:tc>
          <w:tcPr>
            <w:tcW w:w="770" w:type="pct"/>
            <w:vMerge/>
          </w:tcPr>
          <w:p w14:paraId="456888C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5653B84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1AD599AC" w14:textId="77777777" w:rsidTr="0088110A">
        <w:trPr>
          <w:trHeight w:val="701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2DC579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10</w:t>
            </w:r>
          </w:p>
          <w:p w14:paraId="1A1A17A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760B0210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sz w:val="20"/>
              </w:rPr>
              <w:t>Programa de Pequeñas Donaciones GEF/PNUD</w:t>
            </w:r>
            <w:r w:rsidRPr="00550735">
              <w:rPr>
                <w:rFonts w:cstheme="minorHAnsi"/>
                <w:bCs/>
                <w:sz w:val="20"/>
                <w:lang w:val="es-BO"/>
              </w:rPr>
              <w:t xml:space="preserve"> </w:t>
            </w:r>
          </w:p>
        </w:tc>
        <w:tc>
          <w:tcPr>
            <w:tcW w:w="2085" w:type="pct"/>
            <w:shd w:val="clear" w:color="auto" w:fill="auto"/>
          </w:tcPr>
          <w:p w14:paraId="1F5B2530" w14:textId="77777777" w:rsidR="004771A5" w:rsidRPr="00DC5C34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sz w:val="20"/>
              </w:rPr>
              <w:t>Elaboración del plan de Acción de género y transversalización de la perspectiva de género e interculturalidad en la Guía de Proyectos del Programa de Pequeñas Donaciones GEF/PNUD</w:t>
            </w:r>
          </w:p>
        </w:tc>
        <w:tc>
          <w:tcPr>
            <w:tcW w:w="770" w:type="pct"/>
          </w:tcPr>
          <w:p w14:paraId="06AE623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14/03/18</w:t>
            </w:r>
          </w:p>
        </w:tc>
        <w:tc>
          <w:tcPr>
            <w:tcW w:w="866" w:type="pct"/>
          </w:tcPr>
          <w:p w14:paraId="6AFA2E7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21/09/18</w:t>
            </w:r>
          </w:p>
        </w:tc>
      </w:tr>
      <w:tr w:rsidR="004771A5" w:rsidRPr="00550735" w14:paraId="13FD4A35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F751A8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11</w:t>
            </w:r>
          </w:p>
          <w:p w14:paraId="1A86712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32AE9D2F" w14:textId="77777777" w:rsidR="004771A5" w:rsidRPr="00550735" w:rsidRDefault="004771A5" w:rsidP="0088110A">
            <w:pPr>
              <w:rPr>
                <w:rFonts w:cstheme="minorHAnsi"/>
                <w:bCs/>
                <w:sz w:val="20"/>
                <w:lang w:val="es-BO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Alianza Obrera Suiza/PADEM de COSUDE</w:t>
            </w:r>
          </w:p>
          <w:p w14:paraId="6FD0F5A1" w14:textId="77777777" w:rsidR="004771A5" w:rsidRPr="00550735" w:rsidRDefault="004771A5" w:rsidP="0088110A">
            <w:pPr>
              <w:spacing w:before="120" w:after="120"/>
              <w:rPr>
                <w:rFonts w:cstheme="minorHAnsi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3E6C0E5C" w14:textId="77777777" w:rsidR="004771A5" w:rsidRPr="00DC5C34" w:rsidRDefault="004771A5" w:rsidP="0088110A">
            <w:pPr>
              <w:spacing w:before="120" w:after="120"/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sz w:val="20"/>
                <w:lang w:val="es-BO"/>
              </w:rPr>
              <w:t>Sistematización encuestas para construcción de la línea de base del proyecto Vida sin Violencia (género, derechos de las mujeres, y violencia de género) municipios urbanos y rurales.</w:t>
            </w:r>
          </w:p>
        </w:tc>
        <w:tc>
          <w:tcPr>
            <w:tcW w:w="770" w:type="pct"/>
          </w:tcPr>
          <w:p w14:paraId="526FB66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17/04/17</w:t>
            </w:r>
          </w:p>
        </w:tc>
        <w:tc>
          <w:tcPr>
            <w:tcW w:w="866" w:type="pct"/>
          </w:tcPr>
          <w:p w14:paraId="22B5D5E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31/05/17</w:t>
            </w:r>
          </w:p>
          <w:p w14:paraId="34DCC1A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727ED0FA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7148B5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12</w:t>
            </w:r>
          </w:p>
          <w:p w14:paraId="6A33BD9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5DFD09EB" w14:textId="77777777" w:rsidR="004771A5" w:rsidRPr="00550735" w:rsidRDefault="004771A5" w:rsidP="0088110A">
            <w:pPr>
              <w:rPr>
                <w:rFonts w:cstheme="minorHAnsi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Centro de Capacitación para el Desarrollo (CECAD)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4F7261D3" w14:textId="77777777" w:rsidR="004771A5" w:rsidRPr="00550735" w:rsidRDefault="004771A5" w:rsidP="0088110A">
            <w:pPr>
              <w:spacing w:before="120" w:after="120"/>
              <w:rPr>
                <w:rFonts w:cstheme="minorHAnsi"/>
                <w:bCs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 xml:space="preserve">Diagnóstico Socioeconómico y línea de base para la Planificación Territorial de los municipios de Alto Beni, Guanay, Palos Blancos, San Buenaventura, </w:t>
            </w:r>
            <w:proofErr w:type="spellStart"/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>Ixiamas</w:t>
            </w:r>
            <w:proofErr w:type="spellEnd"/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 xml:space="preserve">, </w:t>
            </w:r>
            <w:proofErr w:type="spellStart"/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>Mapiri</w:t>
            </w:r>
            <w:proofErr w:type="spellEnd"/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 xml:space="preserve"> y </w:t>
            </w:r>
            <w:proofErr w:type="spellStart"/>
            <w:r w:rsidRPr="00550735">
              <w:rPr>
                <w:rFonts w:cstheme="minorHAnsi"/>
                <w:bCs/>
                <w:color w:val="000000"/>
                <w:sz w:val="20"/>
                <w:lang w:val="es-EC"/>
              </w:rPr>
              <w:t>Teoponte</w:t>
            </w:r>
            <w:proofErr w:type="spellEnd"/>
          </w:p>
        </w:tc>
        <w:tc>
          <w:tcPr>
            <w:tcW w:w="770" w:type="pct"/>
          </w:tcPr>
          <w:p w14:paraId="721FB33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lang w:val="es-EC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09/2016</w:t>
            </w:r>
          </w:p>
          <w:p w14:paraId="452C385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4C79AA1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03/2017</w:t>
            </w:r>
          </w:p>
        </w:tc>
      </w:tr>
      <w:tr w:rsidR="004771A5" w:rsidRPr="00550735" w14:paraId="5BED2111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623EF8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13</w:t>
            </w:r>
          </w:p>
          <w:p w14:paraId="2BA7AB89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5A6C7CC9" w14:textId="77777777" w:rsidR="004771A5" w:rsidRPr="00550735" w:rsidRDefault="004771A5" w:rsidP="0088110A">
            <w:pPr>
              <w:rPr>
                <w:rFonts w:cstheme="minorHAnsi"/>
                <w:bCs/>
                <w:sz w:val="20"/>
                <w:lang w:val="es-BO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Alianza Obrera Suiza/PADEM de COSUDE</w:t>
            </w:r>
          </w:p>
          <w:p w14:paraId="0EFC18F1" w14:textId="77777777" w:rsidR="004771A5" w:rsidRPr="00550735" w:rsidRDefault="004771A5" w:rsidP="0088110A">
            <w:pPr>
              <w:spacing w:before="120" w:after="120"/>
              <w:rPr>
                <w:rFonts w:cstheme="minorHAnsi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78559AEE" w14:textId="77777777" w:rsidR="004771A5" w:rsidRPr="00550735" w:rsidRDefault="004771A5" w:rsidP="0088110A">
            <w:pPr>
              <w:spacing w:before="120" w:after="120"/>
              <w:rPr>
                <w:rFonts w:cstheme="minorHAnsi"/>
                <w:bCs/>
                <w:sz w:val="20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Propuesta metodológica para el levantamiento de información del estado de situación de la violencia y de los servicios públicos en municipios sin intervención del Programa de Mejora de los Servicios Locales.</w:t>
            </w:r>
          </w:p>
        </w:tc>
        <w:tc>
          <w:tcPr>
            <w:tcW w:w="770" w:type="pct"/>
          </w:tcPr>
          <w:p w14:paraId="0725A44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22/06/16</w:t>
            </w:r>
          </w:p>
        </w:tc>
        <w:tc>
          <w:tcPr>
            <w:tcW w:w="866" w:type="pct"/>
          </w:tcPr>
          <w:p w14:paraId="4A1D2A5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22/07/16</w:t>
            </w:r>
          </w:p>
        </w:tc>
      </w:tr>
      <w:tr w:rsidR="004771A5" w:rsidRPr="00550735" w14:paraId="773F221F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31A797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14</w:t>
            </w:r>
          </w:p>
          <w:p w14:paraId="19B3BB5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1F265637" w14:textId="77777777" w:rsidR="004771A5" w:rsidRPr="00550735" w:rsidRDefault="004771A5" w:rsidP="0088110A">
            <w:pPr>
              <w:spacing w:before="120" w:after="120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1CC64783" w14:textId="77777777" w:rsidR="004771A5" w:rsidRPr="00550735" w:rsidRDefault="004771A5" w:rsidP="0088110A">
            <w:pPr>
              <w:spacing w:before="120" w:after="120"/>
              <w:rPr>
                <w:rFonts w:cstheme="minorHAnsi"/>
                <w:bCs/>
                <w:sz w:val="20"/>
              </w:rPr>
            </w:pPr>
            <w:r w:rsidRPr="00550735">
              <w:rPr>
                <w:rFonts w:cstheme="minorHAnsi"/>
                <w:bCs/>
                <w:iCs/>
                <w:color w:val="000000"/>
                <w:sz w:val="20"/>
                <w:lang w:val="es-BO"/>
              </w:rPr>
              <w:t>Estrategia de género</w:t>
            </w: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 para la implementación del Programa de fortalecimiento institucional y </w:t>
            </w:r>
            <w:r w:rsidRPr="00550735">
              <w:rPr>
                <w:rFonts w:cstheme="minorHAnsi"/>
                <w:bCs/>
                <w:iCs/>
                <w:color w:val="000000"/>
                <w:sz w:val="20"/>
                <w:lang w:val="es-BO"/>
              </w:rPr>
              <w:t>desarrollo de capacidades locales</w:t>
            </w: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 en 15 municipios y comunidades rurales de Cochabamba y Santa Cruz</w:t>
            </w:r>
          </w:p>
        </w:tc>
        <w:tc>
          <w:tcPr>
            <w:tcW w:w="770" w:type="pct"/>
          </w:tcPr>
          <w:p w14:paraId="7DB223A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16/12/16</w:t>
            </w:r>
          </w:p>
        </w:tc>
        <w:tc>
          <w:tcPr>
            <w:tcW w:w="866" w:type="pct"/>
          </w:tcPr>
          <w:p w14:paraId="360EF7A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15/03/17</w:t>
            </w:r>
          </w:p>
        </w:tc>
      </w:tr>
      <w:tr w:rsidR="004771A5" w:rsidRPr="00550735" w14:paraId="047ED61F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0CED6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15</w:t>
            </w:r>
          </w:p>
          <w:p w14:paraId="26FC893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41290C66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Banco BISA</w:t>
            </w:r>
          </w:p>
        </w:tc>
        <w:tc>
          <w:tcPr>
            <w:tcW w:w="2085" w:type="pct"/>
            <w:shd w:val="clear" w:color="auto" w:fill="auto"/>
          </w:tcPr>
          <w:p w14:paraId="5ECD83D6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0D47A055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de microcrédito y clientes PYME</w:t>
            </w:r>
          </w:p>
          <w:p w14:paraId="0FDE8C76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capacitadores del Banco</w:t>
            </w:r>
          </w:p>
          <w:p w14:paraId="67BF4B74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43 talleres</w:t>
            </w:r>
          </w:p>
        </w:tc>
        <w:tc>
          <w:tcPr>
            <w:tcW w:w="770" w:type="pct"/>
          </w:tcPr>
          <w:p w14:paraId="30BE910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02/02/16</w:t>
            </w:r>
          </w:p>
          <w:p w14:paraId="19CDDAD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095106C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21/12/16</w:t>
            </w:r>
          </w:p>
        </w:tc>
      </w:tr>
      <w:tr w:rsidR="004771A5" w:rsidRPr="00550735" w14:paraId="2984A0F0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0E9091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16</w:t>
            </w:r>
          </w:p>
          <w:p w14:paraId="570EF9D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7494A82A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Banco BISA</w:t>
            </w:r>
          </w:p>
        </w:tc>
        <w:tc>
          <w:tcPr>
            <w:tcW w:w="2085" w:type="pct"/>
            <w:shd w:val="clear" w:color="auto" w:fill="auto"/>
          </w:tcPr>
          <w:p w14:paraId="06045064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6E8CCCFD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de microcrédito y clientes PYME</w:t>
            </w:r>
          </w:p>
          <w:p w14:paraId="2AA0FCC0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Capacitación a capacitadores del Banco</w:t>
            </w:r>
          </w:p>
          <w:p w14:paraId="7D0D0885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48 talleres</w:t>
            </w:r>
          </w:p>
        </w:tc>
        <w:tc>
          <w:tcPr>
            <w:tcW w:w="770" w:type="pct"/>
          </w:tcPr>
          <w:p w14:paraId="780CCE0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13/03/15</w:t>
            </w:r>
          </w:p>
          <w:p w14:paraId="1E49ACC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0B752E7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21/12/15</w:t>
            </w:r>
          </w:p>
        </w:tc>
      </w:tr>
      <w:tr w:rsidR="004771A5" w:rsidRPr="00550735" w14:paraId="1AC8BD36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01EEDE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lastRenderedPageBreak/>
              <w:t>17</w:t>
            </w:r>
          </w:p>
          <w:p w14:paraId="1D98B0A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05BD96F7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ONG Asociación de Promotores de Salud de Área Rural</w:t>
            </w:r>
            <w:r w:rsidRPr="00550735">
              <w:rPr>
                <w:rFonts w:cstheme="minorHAnsi"/>
                <w:b/>
                <w:bCs/>
                <w:color w:val="000000"/>
                <w:sz w:val="20"/>
              </w:rPr>
              <w:t xml:space="preserve"> 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>(APROSAR)</w:t>
            </w:r>
          </w:p>
        </w:tc>
        <w:tc>
          <w:tcPr>
            <w:tcW w:w="2085" w:type="pct"/>
            <w:shd w:val="clear" w:color="auto" w:fill="auto"/>
          </w:tcPr>
          <w:p w14:paraId="55554038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Servicios en temas de planificación, medio ambiente y cambio climático. </w:t>
            </w:r>
          </w:p>
        </w:tc>
        <w:tc>
          <w:tcPr>
            <w:tcW w:w="770" w:type="pct"/>
          </w:tcPr>
          <w:p w14:paraId="428D90E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20/04/15</w:t>
            </w:r>
          </w:p>
          <w:p w14:paraId="4BFD426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4DE9BB7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20/10/15</w:t>
            </w:r>
          </w:p>
        </w:tc>
      </w:tr>
      <w:tr w:rsidR="004771A5" w:rsidRPr="00550735" w14:paraId="6A21D2DC" w14:textId="77777777" w:rsidTr="0088110A">
        <w:trPr>
          <w:trHeight w:val="7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20F8E5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18</w:t>
            </w:r>
          </w:p>
          <w:p w14:paraId="49D3A12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56D93173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BancoSol</w:t>
            </w:r>
            <w:proofErr w:type="spellEnd"/>
          </w:p>
        </w:tc>
        <w:tc>
          <w:tcPr>
            <w:tcW w:w="2085" w:type="pct"/>
            <w:shd w:val="clear" w:color="auto" w:fill="auto"/>
          </w:tcPr>
          <w:p w14:paraId="654AE709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058E3172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MYPYME en situación vulnerable</w:t>
            </w:r>
          </w:p>
          <w:p w14:paraId="3B0B887A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La Paz, Cochabamba y Santa Cruz</w:t>
            </w:r>
          </w:p>
        </w:tc>
        <w:tc>
          <w:tcPr>
            <w:tcW w:w="770" w:type="pct"/>
          </w:tcPr>
          <w:p w14:paraId="447F94A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17/07/15</w:t>
            </w:r>
          </w:p>
          <w:p w14:paraId="6D76867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771134C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30/06/15</w:t>
            </w:r>
          </w:p>
        </w:tc>
      </w:tr>
      <w:tr w:rsidR="004771A5" w:rsidRPr="00550735" w14:paraId="77A25169" w14:textId="77777777" w:rsidTr="0088110A">
        <w:trPr>
          <w:trHeight w:val="519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EA340C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19</w:t>
            </w:r>
          </w:p>
          <w:p w14:paraId="47F8D9A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30C1A5F8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Alianza Obrera Suiza/PADEM de COSUDE</w:t>
            </w:r>
          </w:p>
          <w:p w14:paraId="1008E294" w14:textId="77777777" w:rsidR="004771A5" w:rsidRPr="00550735" w:rsidRDefault="004771A5" w:rsidP="0088110A">
            <w:pPr>
              <w:rPr>
                <w:rFonts w:cstheme="minorHAnsi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3FE9062E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Levantamiento y sistematización de información de línea de base para el mejoramiento de la cadena de protección y acceso a la justicia de las mujeres en el ámbito municipal</w:t>
            </w:r>
          </w:p>
        </w:tc>
        <w:tc>
          <w:tcPr>
            <w:tcW w:w="770" w:type="pct"/>
          </w:tcPr>
          <w:p w14:paraId="699EF85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22/06/15</w:t>
            </w:r>
          </w:p>
        </w:tc>
        <w:tc>
          <w:tcPr>
            <w:tcW w:w="866" w:type="pct"/>
          </w:tcPr>
          <w:p w14:paraId="12A8FA9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17/07/15</w:t>
            </w:r>
          </w:p>
        </w:tc>
      </w:tr>
      <w:tr w:rsidR="004771A5" w:rsidRPr="00550735" w14:paraId="4DA95DA8" w14:textId="77777777" w:rsidTr="0088110A">
        <w:trPr>
          <w:trHeight w:val="56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91A323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20</w:t>
            </w:r>
          </w:p>
          <w:p w14:paraId="6D043DD1" w14:textId="77777777" w:rsidR="004771A5" w:rsidRPr="00550735" w:rsidRDefault="004771A5" w:rsidP="0088110A">
            <w:pPr>
              <w:spacing w:before="120" w:after="120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56C467B8" w14:textId="77777777" w:rsidR="004771A5" w:rsidRPr="00550735" w:rsidRDefault="004771A5" w:rsidP="0088110A">
            <w:pPr>
              <w:rPr>
                <w:rFonts w:cstheme="minorHAnsi"/>
                <w:bCs/>
                <w:sz w:val="20"/>
                <w:lang w:val="es-BO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Alianza Obrera Suiza/PADEM de COSUDE</w:t>
            </w:r>
          </w:p>
          <w:p w14:paraId="47CBF428" w14:textId="77777777" w:rsidR="004771A5" w:rsidRPr="00550735" w:rsidRDefault="004771A5" w:rsidP="0088110A">
            <w:pPr>
              <w:rPr>
                <w:rFonts w:cstheme="minorHAnsi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76627519" w14:textId="77777777" w:rsidR="004771A5" w:rsidRPr="00DC5C34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Análisis costo efectividad del programa de Lucha Contra la Violencia hacia la Mujer. Análisis de beneficios no </w:t>
            </w:r>
            <w:proofErr w:type="spellStart"/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monetizables</w:t>
            </w:r>
            <w:proofErr w:type="spellEnd"/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 de las intervenciones del programa en municipios urbanos y rurales.</w:t>
            </w:r>
          </w:p>
        </w:tc>
        <w:tc>
          <w:tcPr>
            <w:tcW w:w="770" w:type="pct"/>
          </w:tcPr>
          <w:p w14:paraId="3A3346BB" w14:textId="77777777" w:rsidR="004771A5" w:rsidRPr="00550735" w:rsidRDefault="004771A5" w:rsidP="0088110A">
            <w:pPr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15/05/15</w:t>
            </w:r>
          </w:p>
        </w:tc>
        <w:tc>
          <w:tcPr>
            <w:tcW w:w="866" w:type="pct"/>
          </w:tcPr>
          <w:p w14:paraId="5C2D3725" w14:textId="77777777" w:rsidR="004771A5" w:rsidRPr="00550735" w:rsidRDefault="004771A5" w:rsidP="0088110A">
            <w:pPr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17/07/15</w:t>
            </w:r>
          </w:p>
        </w:tc>
      </w:tr>
      <w:tr w:rsidR="004771A5" w:rsidRPr="00550735" w14:paraId="2286CD14" w14:textId="77777777" w:rsidTr="0088110A">
        <w:trPr>
          <w:trHeight w:val="828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757AE05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  <w:p w14:paraId="05FDD33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21</w:t>
            </w:r>
          </w:p>
        </w:tc>
        <w:tc>
          <w:tcPr>
            <w:tcW w:w="916" w:type="pct"/>
            <w:vMerge w:val="restart"/>
          </w:tcPr>
          <w:p w14:paraId="759D660E" w14:textId="77777777" w:rsidR="004771A5" w:rsidRPr="00550735" w:rsidRDefault="004771A5" w:rsidP="0088110A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Cooperación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 xml:space="preserve">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  <w:vAlign w:val="center"/>
          </w:tcPr>
          <w:p w14:paraId="32612F4F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color w:val="000000"/>
                <w:sz w:val="20"/>
                <w:lang w:val="es-US"/>
              </w:rPr>
            </w:pPr>
            <w:r w:rsidRPr="00DC5C34">
              <w:rPr>
                <w:rFonts w:cstheme="minorHAnsi"/>
                <w:bCs/>
                <w:iCs/>
                <w:sz w:val="20"/>
                <w:lang w:val="es-US"/>
              </w:rPr>
              <w:t xml:space="preserve">Diagnóstico organizacional en 12 municipios de la cuenca del </w:t>
            </w:r>
            <w:r w:rsidRPr="00DC5C34">
              <w:rPr>
                <w:rFonts w:cstheme="minorHAnsi"/>
                <w:bCs/>
                <w:iCs/>
                <w:color w:val="000000"/>
                <w:sz w:val="20"/>
                <w:lang w:val="es-BO"/>
              </w:rPr>
              <w:t>Lago Titicaca. Trabajo con comunidades rurales para promoción del desarrollo local con base en el turismo comunitario para el diseño del documento “Proyecto del Lago” de exploración subacuática</w:t>
            </w:r>
          </w:p>
        </w:tc>
        <w:tc>
          <w:tcPr>
            <w:tcW w:w="770" w:type="pct"/>
            <w:vMerge w:val="restart"/>
          </w:tcPr>
          <w:p w14:paraId="5560A5DE" w14:textId="77777777" w:rsidR="004771A5" w:rsidRPr="00550735" w:rsidRDefault="004771A5" w:rsidP="0088110A">
            <w:pPr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26/01/15</w:t>
            </w:r>
          </w:p>
          <w:p w14:paraId="77C80A04" w14:textId="77777777" w:rsidR="004771A5" w:rsidRPr="00550735" w:rsidRDefault="004771A5" w:rsidP="0088110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</w:tcPr>
          <w:p w14:paraId="50352986" w14:textId="77777777" w:rsidR="004771A5" w:rsidRPr="00550735" w:rsidRDefault="004771A5" w:rsidP="0088110A">
            <w:pPr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20/03/15</w:t>
            </w:r>
          </w:p>
        </w:tc>
      </w:tr>
      <w:tr w:rsidR="004771A5" w:rsidRPr="00550735" w14:paraId="1DFA32F4" w14:textId="77777777" w:rsidTr="0088110A">
        <w:trPr>
          <w:trHeight w:val="828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2876321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</w:tcPr>
          <w:p w14:paraId="596D3EB4" w14:textId="77777777" w:rsidR="004771A5" w:rsidRPr="00550735" w:rsidRDefault="004771A5" w:rsidP="0088110A">
            <w:pPr>
              <w:rPr>
                <w:rFonts w:cstheme="minorHAnsi"/>
                <w:bCs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4F0B53C2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iCs/>
                <w:sz w:val="20"/>
                <w:lang w:val="es-US"/>
              </w:rPr>
            </w:pPr>
            <w:r w:rsidRPr="00DC5C34">
              <w:rPr>
                <w:rFonts w:cstheme="minorHAnsi"/>
                <w:bCs/>
                <w:iCs/>
                <w:sz w:val="20"/>
                <w:lang w:val="es-US"/>
              </w:rPr>
              <w:t>Diagnóstico de género y propuesta para igualar oportunidades de acceso de los beneficios del proyecto para mujeres y hombres</w:t>
            </w:r>
          </w:p>
        </w:tc>
        <w:tc>
          <w:tcPr>
            <w:tcW w:w="770" w:type="pct"/>
            <w:vMerge/>
          </w:tcPr>
          <w:p w14:paraId="0099278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0E8EF92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171F0B7F" w14:textId="77777777" w:rsidTr="0088110A">
        <w:trPr>
          <w:trHeight w:val="457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281866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</w:p>
          <w:p w14:paraId="5E0F0C9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026361F4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sz w:val="20"/>
                <w:lang w:val="es-BO"/>
              </w:rPr>
              <w:t>Cooperación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 xml:space="preserve"> Técnica Belga/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Enabel</w:t>
            </w:r>
            <w:proofErr w:type="spellEnd"/>
          </w:p>
        </w:tc>
        <w:tc>
          <w:tcPr>
            <w:tcW w:w="2085" w:type="pct"/>
            <w:shd w:val="clear" w:color="auto" w:fill="auto"/>
          </w:tcPr>
          <w:p w14:paraId="39B17BF2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Evaluación organizacional Gobierno Autónomo Departamental de Sucre y los GAM de Yotala y </w:t>
            </w:r>
            <w:proofErr w:type="spellStart"/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Poroma</w:t>
            </w:r>
            <w:proofErr w:type="spellEnd"/>
          </w:p>
        </w:tc>
        <w:tc>
          <w:tcPr>
            <w:tcW w:w="770" w:type="pct"/>
            <w:shd w:val="clear" w:color="auto" w:fill="auto"/>
          </w:tcPr>
          <w:p w14:paraId="68ECD67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14/04/2014</w:t>
            </w:r>
          </w:p>
        </w:tc>
        <w:tc>
          <w:tcPr>
            <w:tcW w:w="866" w:type="pct"/>
            <w:shd w:val="clear" w:color="auto" w:fill="auto"/>
          </w:tcPr>
          <w:p w14:paraId="60ED9FF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30/05/2014</w:t>
            </w:r>
          </w:p>
        </w:tc>
      </w:tr>
      <w:tr w:rsidR="004771A5" w:rsidRPr="00550735" w14:paraId="766E731D" w14:textId="77777777" w:rsidTr="0088110A">
        <w:trPr>
          <w:trHeight w:val="457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D08BA2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</w:t>
            </w:r>
          </w:p>
          <w:p w14:paraId="72DAAB7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49F17FCD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EC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Banco BISA</w:t>
            </w:r>
          </w:p>
        </w:tc>
        <w:tc>
          <w:tcPr>
            <w:tcW w:w="2085" w:type="pct"/>
            <w:shd w:val="clear" w:color="auto" w:fill="auto"/>
          </w:tcPr>
          <w:p w14:paraId="50C0A786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09E7A789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de microcrédito y clientes PYME</w:t>
            </w:r>
          </w:p>
          <w:p w14:paraId="1712DCCF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capacitadores del Banco</w:t>
            </w:r>
          </w:p>
          <w:p w14:paraId="49ADA0DA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/>
                <w:sz w:val="20"/>
                <w:lang w:val="es-EC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31 talleres</w:t>
            </w:r>
          </w:p>
        </w:tc>
        <w:tc>
          <w:tcPr>
            <w:tcW w:w="770" w:type="pct"/>
            <w:shd w:val="clear" w:color="auto" w:fill="auto"/>
          </w:tcPr>
          <w:p w14:paraId="2500B91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31/03/15</w:t>
            </w:r>
          </w:p>
          <w:p w14:paraId="27CA794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  <w:lang w:val="es-EC"/>
              </w:rPr>
            </w:pPr>
          </w:p>
        </w:tc>
        <w:tc>
          <w:tcPr>
            <w:tcW w:w="866" w:type="pct"/>
            <w:shd w:val="clear" w:color="auto" w:fill="auto"/>
          </w:tcPr>
          <w:p w14:paraId="1D9BA0A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  <w:lang w:val="es-EC"/>
              </w:rPr>
            </w:pPr>
            <w:r w:rsidRPr="00550735">
              <w:rPr>
                <w:rFonts w:cstheme="minorHAnsi"/>
                <w:sz w:val="20"/>
              </w:rPr>
              <w:t>20/11/15</w:t>
            </w:r>
          </w:p>
        </w:tc>
      </w:tr>
      <w:tr w:rsidR="004771A5" w:rsidRPr="00550735" w14:paraId="650DF714" w14:textId="77777777" w:rsidTr="0088110A">
        <w:trPr>
          <w:trHeight w:val="457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64320F1" w14:textId="77777777" w:rsidR="004771A5" w:rsidRPr="00152A24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152A24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24</w:t>
            </w:r>
          </w:p>
        </w:tc>
        <w:tc>
          <w:tcPr>
            <w:tcW w:w="916" w:type="pct"/>
          </w:tcPr>
          <w:p w14:paraId="58536556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 xml:space="preserve">Centro de Capacitación para el </w:t>
            </w:r>
            <w:r w:rsidRPr="00550735">
              <w:rPr>
                <w:rFonts w:cstheme="minorHAnsi"/>
                <w:color w:val="000000"/>
                <w:sz w:val="20"/>
                <w:lang w:val="es-EC"/>
              </w:rPr>
              <w:lastRenderedPageBreak/>
              <w:t>Desarrollo (CECAD)</w:t>
            </w:r>
          </w:p>
        </w:tc>
        <w:tc>
          <w:tcPr>
            <w:tcW w:w="2085" w:type="pct"/>
            <w:shd w:val="clear" w:color="auto" w:fill="auto"/>
            <w:vAlign w:val="center"/>
          </w:tcPr>
          <w:p w14:paraId="12637F65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sz w:val="20"/>
                <w:lang w:val="es-EC"/>
              </w:rPr>
              <w:lastRenderedPageBreak/>
              <w:t>Talleres de validación de información territorial con dirigentes de organizaciones sociales de los</w:t>
            </w:r>
            <w:r w:rsidRPr="00550735">
              <w:rPr>
                <w:rFonts w:cstheme="minorHAnsi"/>
                <w:bCs/>
                <w:sz w:val="20"/>
                <w:lang w:val="es-EC"/>
              </w:rPr>
              <w:t xml:space="preserve"> municipios de Alto Beni, Guanay, Palos Blancos, San </w:t>
            </w:r>
            <w:r w:rsidRPr="00550735">
              <w:rPr>
                <w:rFonts w:cstheme="minorHAnsi"/>
                <w:bCs/>
                <w:sz w:val="20"/>
                <w:lang w:val="es-EC"/>
              </w:rPr>
              <w:lastRenderedPageBreak/>
              <w:t xml:space="preserve">Buenaventura, </w:t>
            </w:r>
            <w:proofErr w:type="spellStart"/>
            <w:r w:rsidRPr="00550735">
              <w:rPr>
                <w:rFonts w:cstheme="minorHAnsi"/>
                <w:bCs/>
                <w:sz w:val="20"/>
                <w:lang w:val="es-EC"/>
              </w:rPr>
              <w:t>Ixiamas</w:t>
            </w:r>
            <w:proofErr w:type="spellEnd"/>
            <w:r w:rsidRPr="00550735">
              <w:rPr>
                <w:rFonts w:cstheme="minorHAnsi"/>
                <w:bCs/>
                <w:sz w:val="20"/>
                <w:lang w:val="es-EC"/>
              </w:rPr>
              <w:t xml:space="preserve">, </w:t>
            </w:r>
            <w:proofErr w:type="spellStart"/>
            <w:r w:rsidRPr="00550735">
              <w:rPr>
                <w:rFonts w:cstheme="minorHAnsi"/>
                <w:bCs/>
                <w:sz w:val="20"/>
                <w:lang w:val="es-EC"/>
              </w:rPr>
              <w:t>Mapiri</w:t>
            </w:r>
            <w:proofErr w:type="spellEnd"/>
            <w:r w:rsidRPr="00550735">
              <w:rPr>
                <w:rFonts w:cstheme="minorHAnsi"/>
                <w:bCs/>
                <w:sz w:val="20"/>
                <w:lang w:val="es-EC"/>
              </w:rPr>
              <w:t xml:space="preserve"> y </w:t>
            </w:r>
            <w:proofErr w:type="spellStart"/>
            <w:r w:rsidRPr="00550735">
              <w:rPr>
                <w:rFonts w:cstheme="minorHAnsi"/>
                <w:bCs/>
                <w:sz w:val="20"/>
                <w:lang w:val="es-EC"/>
              </w:rPr>
              <w:t>Teoponte</w:t>
            </w:r>
            <w:proofErr w:type="spellEnd"/>
            <w:r w:rsidRPr="00550735">
              <w:rPr>
                <w:rFonts w:cstheme="minorHAnsi"/>
                <w:bCs/>
                <w:sz w:val="20"/>
                <w:lang w:val="es-EC"/>
              </w:rPr>
              <w:t xml:space="preserve"> como insumo para la generación de instrumentos de Planificación Territorial</w:t>
            </w:r>
          </w:p>
        </w:tc>
        <w:tc>
          <w:tcPr>
            <w:tcW w:w="770" w:type="pct"/>
            <w:shd w:val="clear" w:color="auto" w:fill="auto"/>
          </w:tcPr>
          <w:p w14:paraId="0E1AEF6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  <w:lang w:val="es-EC"/>
              </w:rPr>
            </w:pPr>
            <w:r w:rsidRPr="00550735">
              <w:rPr>
                <w:rFonts w:cstheme="minorHAnsi"/>
                <w:sz w:val="20"/>
                <w:lang w:val="es-EC"/>
              </w:rPr>
              <w:lastRenderedPageBreak/>
              <w:t>01/12/2014</w:t>
            </w:r>
          </w:p>
          <w:p w14:paraId="3A60091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shd w:val="clear" w:color="auto" w:fill="auto"/>
          </w:tcPr>
          <w:p w14:paraId="114A28D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  <w:lang w:val="es-EC"/>
              </w:rPr>
              <w:t>30/04/2015</w:t>
            </w:r>
          </w:p>
        </w:tc>
      </w:tr>
      <w:tr w:rsidR="004771A5" w:rsidRPr="00550735" w14:paraId="74594FBA" w14:textId="77777777" w:rsidTr="0088110A">
        <w:trPr>
          <w:trHeight w:val="688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3CCA9D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5</w:t>
            </w:r>
          </w:p>
          <w:p w14:paraId="3D9C3BF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2DB5B95E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BancoSol</w:t>
            </w:r>
            <w:proofErr w:type="spellEnd"/>
          </w:p>
        </w:tc>
        <w:tc>
          <w:tcPr>
            <w:tcW w:w="2085" w:type="pct"/>
            <w:shd w:val="clear" w:color="auto" w:fill="auto"/>
          </w:tcPr>
          <w:p w14:paraId="2F9512EE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05040EC1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MYPYME en situación vulnerable</w:t>
            </w:r>
          </w:p>
          <w:p w14:paraId="07B6B0DF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60 talleres participativos, nivel nacional</w:t>
            </w:r>
          </w:p>
        </w:tc>
        <w:tc>
          <w:tcPr>
            <w:tcW w:w="770" w:type="pct"/>
          </w:tcPr>
          <w:p w14:paraId="06AC1BA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26/06/14</w:t>
            </w:r>
          </w:p>
          <w:p w14:paraId="13AE8C5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2A4A02C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21/12/14</w:t>
            </w:r>
          </w:p>
        </w:tc>
      </w:tr>
      <w:tr w:rsidR="004771A5" w:rsidRPr="00550735" w14:paraId="19500EE1" w14:textId="77777777" w:rsidTr="0088110A">
        <w:trPr>
          <w:trHeight w:val="620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1547EB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6</w:t>
            </w:r>
          </w:p>
          <w:p w14:paraId="418D2A56" w14:textId="77777777" w:rsidR="004771A5" w:rsidRPr="00550735" w:rsidRDefault="004771A5" w:rsidP="0088110A">
            <w:pPr>
              <w:spacing w:before="120" w:after="120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</w:tcPr>
          <w:p w14:paraId="5F9DFD82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Banco BISA</w:t>
            </w:r>
          </w:p>
        </w:tc>
        <w:tc>
          <w:tcPr>
            <w:tcW w:w="2085" w:type="pct"/>
            <w:shd w:val="clear" w:color="auto" w:fill="auto"/>
          </w:tcPr>
          <w:p w14:paraId="4B133D04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3C18A5A9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de microcrédito y clientes PYME</w:t>
            </w:r>
          </w:p>
          <w:p w14:paraId="18980AC1" w14:textId="77777777" w:rsidR="004771A5" w:rsidRPr="00550735" w:rsidRDefault="004771A5" w:rsidP="0088110A">
            <w:pPr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capa</w:t>
            </w:r>
            <w:r>
              <w:rPr>
                <w:rFonts w:cstheme="minorHAnsi"/>
                <w:bCs/>
                <w:color w:val="000000"/>
                <w:sz w:val="20"/>
                <w:lang w:val="es-BO"/>
              </w:rPr>
              <w:t>c</w:t>
            </w: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itadores del Banco</w:t>
            </w:r>
          </w:p>
          <w:p w14:paraId="1BE15719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31 talleres</w:t>
            </w:r>
          </w:p>
        </w:tc>
        <w:tc>
          <w:tcPr>
            <w:tcW w:w="770" w:type="pct"/>
          </w:tcPr>
          <w:p w14:paraId="2ED70A6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31/03/14</w:t>
            </w:r>
          </w:p>
          <w:p w14:paraId="0AB73E0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</w:tcPr>
          <w:p w14:paraId="32D465B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20/11/14</w:t>
            </w:r>
          </w:p>
        </w:tc>
      </w:tr>
      <w:tr w:rsidR="004771A5" w:rsidRPr="00550735" w14:paraId="01749AC2" w14:textId="77777777" w:rsidTr="0088110A">
        <w:trPr>
          <w:trHeight w:val="620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2F5793F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7</w:t>
            </w:r>
          </w:p>
          <w:p w14:paraId="4DD38C5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 w:val="restart"/>
          </w:tcPr>
          <w:p w14:paraId="47BB04B9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BancoSol</w:t>
            </w:r>
            <w:proofErr w:type="spellEnd"/>
          </w:p>
        </w:tc>
        <w:tc>
          <w:tcPr>
            <w:tcW w:w="2085" w:type="pct"/>
            <w:shd w:val="clear" w:color="auto" w:fill="auto"/>
          </w:tcPr>
          <w:p w14:paraId="6CB10C5D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Programa de Responsabilidad Social Empresarial</w:t>
            </w:r>
          </w:p>
          <w:p w14:paraId="5F343FD9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MYPYME en situación vulnerable</w:t>
            </w:r>
          </w:p>
          <w:p w14:paraId="72824F9B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left="32"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60 talleres participativos, nivel nacional</w:t>
            </w:r>
          </w:p>
        </w:tc>
        <w:tc>
          <w:tcPr>
            <w:tcW w:w="770" w:type="pct"/>
            <w:vMerge w:val="restart"/>
            <w:shd w:val="clear" w:color="auto" w:fill="auto"/>
          </w:tcPr>
          <w:p w14:paraId="0C34DD1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01/03/13</w:t>
            </w:r>
          </w:p>
          <w:p w14:paraId="6313089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  <w:shd w:val="clear" w:color="auto" w:fill="auto"/>
          </w:tcPr>
          <w:p w14:paraId="6C3D29A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15/11/13</w:t>
            </w:r>
          </w:p>
        </w:tc>
      </w:tr>
      <w:tr w:rsidR="004771A5" w:rsidRPr="00550735" w14:paraId="357D3934" w14:textId="77777777" w:rsidTr="0088110A">
        <w:trPr>
          <w:trHeight w:val="421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161ADE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</w:tcPr>
          <w:p w14:paraId="4B59AEA5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</w:tcPr>
          <w:p w14:paraId="4A8DBDA4" w14:textId="77777777" w:rsidR="004771A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Organización de Feria Productiva con micronegocios a nivel nacional, en la ciudad de El Alto</w:t>
            </w:r>
          </w:p>
          <w:p w14:paraId="3AB12448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</w:p>
        </w:tc>
        <w:tc>
          <w:tcPr>
            <w:tcW w:w="770" w:type="pct"/>
            <w:vMerge/>
            <w:shd w:val="clear" w:color="auto" w:fill="auto"/>
          </w:tcPr>
          <w:p w14:paraId="38C9A09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2A23ABA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0E82771A" w14:textId="77777777" w:rsidTr="0088110A">
        <w:trPr>
          <w:trHeight w:val="688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20084C52" w14:textId="77777777" w:rsidR="004771A5" w:rsidRPr="005F585F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F585F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8</w:t>
            </w:r>
          </w:p>
          <w:p w14:paraId="7964A3C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  <w:p w14:paraId="24EB054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 w:val="restart"/>
          </w:tcPr>
          <w:p w14:paraId="6736001B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ONU Mujeres/</w:t>
            </w:r>
          </w:p>
          <w:p w14:paraId="1DAEF60F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 xml:space="preserve">Consultora 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SAXgr</w:t>
            </w:r>
            <w:proofErr w:type="spellEnd"/>
          </w:p>
          <w:p w14:paraId="5C2266A7" w14:textId="77777777" w:rsidR="004771A5" w:rsidRPr="00550735" w:rsidRDefault="004771A5" w:rsidP="0088110A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2EC90044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left="32"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Diagnóstico institucional de la Fuerza Especial de Lucha Contra la Violencia (FELCV) y servicios conexos de la Policía, Ministerio Público y Órgano Judicial</w:t>
            </w:r>
          </w:p>
        </w:tc>
        <w:tc>
          <w:tcPr>
            <w:tcW w:w="770" w:type="pct"/>
            <w:vMerge w:val="restart"/>
          </w:tcPr>
          <w:p w14:paraId="701C043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19/08/13</w:t>
            </w:r>
          </w:p>
          <w:p w14:paraId="7DDBD30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</w:tcPr>
          <w:p w14:paraId="753BB45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15/10/13</w:t>
            </w:r>
          </w:p>
        </w:tc>
      </w:tr>
      <w:tr w:rsidR="004771A5" w:rsidRPr="00550735" w14:paraId="76C64784" w14:textId="77777777" w:rsidTr="0088110A">
        <w:trPr>
          <w:trHeight w:val="688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3E1FDFE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</w:tcPr>
          <w:p w14:paraId="67DDC1B6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415D5BAD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Diagnóstico de prestación de servicios en municipios de todo el país (línea de base)</w:t>
            </w:r>
          </w:p>
        </w:tc>
        <w:tc>
          <w:tcPr>
            <w:tcW w:w="770" w:type="pct"/>
            <w:vMerge/>
          </w:tcPr>
          <w:p w14:paraId="3592DFA7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5E9AE16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690D3C0D" w14:textId="77777777" w:rsidTr="0088110A">
        <w:trPr>
          <w:trHeight w:val="552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2FB2930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  <w:p w14:paraId="70BE778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2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9</w:t>
            </w:r>
          </w:p>
          <w:p w14:paraId="55FCAB5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 w:val="restart"/>
            <w:shd w:val="clear" w:color="auto" w:fill="auto"/>
          </w:tcPr>
          <w:p w14:paraId="594724DE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</w:t>
            </w:r>
          </w:p>
          <w:p w14:paraId="195E2BD2" w14:textId="77777777" w:rsidR="004771A5" w:rsidRPr="00550735" w:rsidRDefault="004771A5" w:rsidP="0088110A">
            <w:pPr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4CC3E297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left="32" w:right="6"/>
              <w:contextualSpacing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iCs/>
                <w:color w:val="000000"/>
                <w:sz w:val="20"/>
                <w:lang w:val="es-BO"/>
              </w:rPr>
              <w:t>Evaluación organizacional de los Servicios Departamentales de Salud</w:t>
            </w: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 (SEDES) La Paz, Chuquisaca, Cochabamba y Potosí.</w:t>
            </w:r>
          </w:p>
        </w:tc>
        <w:tc>
          <w:tcPr>
            <w:tcW w:w="770" w:type="pct"/>
            <w:vMerge w:val="restart"/>
          </w:tcPr>
          <w:p w14:paraId="11D8A9C1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19/08/13</w:t>
            </w:r>
          </w:p>
          <w:p w14:paraId="3FF4FDF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</w:tcPr>
          <w:p w14:paraId="34C0F1E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15/10/13</w:t>
            </w:r>
          </w:p>
        </w:tc>
      </w:tr>
      <w:tr w:rsidR="004771A5" w:rsidRPr="00550735" w14:paraId="6492112E" w14:textId="77777777" w:rsidTr="0088110A">
        <w:trPr>
          <w:trHeight w:val="552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3BC5B8B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2B4BC681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150B1909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ind w:left="32" w:right="6"/>
              <w:contextualSpacing/>
              <w:rPr>
                <w:rFonts w:cstheme="minorHAnsi"/>
                <w:bCs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Evaluación del rendimiento, análisis de procesos, análisis de pertinencia, efectividad y eficacia.</w:t>
            </w:r>
          </w:p>
        </w:tc>
        <w:tc>
          <w:tcPr>
            <w:tcW w:w="770" w:type="pct"/>
            <w:vMerge/>
          </w:tcPr>
          <w:p w14:paraId="65CC1D6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6290B58F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07401546" w14:textId="77777777" w:rsidTr="0088110A">
        <w:trPr>
          <w:trHeight w:val="552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2A9F09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C7EE93A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0BC64E42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i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Diagnóstico de barreras de acceso a la salud </w:t>
            </w:r>
            <w:proofErr w:type="gramStart"/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en razón de</w:t>
            </w:r>
            <w:proofErr w:type="gramEnd"/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 género.</w:t>
            </w:r>
          </w:p>
        </w:tc>
        <w:tc>
          <w:tcPr>
            <w:tcW w:w="770" w:type="pct"/>
            <w:vMerge/>
          </w:tcPr>
          <w:p w14:paraId="51B4FAF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270BB58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55FAEBF7" w14:textId="77777777" w:rsidTr="0088110A">
        <w:trPr>
          <w:trHeight w:val="412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07CE35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30</w:t>
            </w:r>
          </w:p>
        </w:tc>
        <w:tc>
          <w:tcPr>
            <w:tcW w:w="916" w:type="pct"/>
            <w:shd w:val="clear" w:color="auto" w:fill="auto"/>
          </w:tcPr>
          <w:p w14:paraId="122B44D3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Cooperación Técnica Belga</w:t>
            </w:r>
          </w:p>
          <w:p w14:paraId="20FC048F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</w:tcPr>
          <w:p w14:paraId="7F47945F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bCs/>
                <w:color w:val="000000"/>
                <w:sz w:val="20"/>
                <w:lang w:val="es-BO"/>
              </w:rPr>
              <w:t>Transversalización de género en el nuevo programa de cooperación en el sector agua</w:t>
            </w:r>
          </w:p>
        </w:tc>
        <w:tc>
          <w:tcPr>
            <w:tcW w:w="770" w:type="pct"/>
          </w:tcPr>
          <w:p w14:paraId="78140A1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02/06/2014</w:t>
            </w:r>
          </w:p>
        </w:tc>
        <w:tc>
          <w:tcPr>
            <w:tcW w:w="866" w:type="pct"/>
          </w:tcPr>
          <w:p w14:paraId="33D38DF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12/07/2014</w:t>
            </w:r>
          </w:p>
        </w:tc>
      </w:tr>
      <w:tr w:rsidR="004771A5" w:rsidRPr="00550735" w14:paraId="741F5339" w14:textId="77777777" w:rsidTr="0088110A">
        <w:trPr>
          <w:trHeight w:val="412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163B4065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  <w:p w14:paraId="7A22181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31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0903FDEF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BancoSol</w:t>
            </w:r>
            <w:proofErr w:type="spellEnd"/>
          </w:p>
        </w:tc>
        <w:tc>
          <w:tcPr>
            <w:tcW w:w="2085" w:type="pct"/>
            <w:shd w:val="clear" w:color="auto" w:fill="auto"/>
          </w:tcPr>
          <w:p w14:paraId="793174CA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 xml:space="preserve">Programa de Responsabilidad Social </w:t>
            </w: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lastRenderedPageBreak/>
              <w:t>Empresarial</w:t>
            </w:r>
          </w:p>
          <w:p w14:paraId="795A67B5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Capacitación a clientes MYPYME en situación vulnerable</w:t>
            </w:r>
          </w:p>
          <w:p w14:paraId="1C49948D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Cs/>
                <w:i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bCs/>
                <w:color w:val="000000"/>
                <w:sz w:val="20"/>
                <w:lang w:val="es-BO"/>
              </w:rPr>
              <w:t>71 talleres participativos, nivel nacional</w:t>
            </w:r>
          </w:p>
        </w:tc>
        <w:tc>
          <w:tcPr>
            <w:tcW w:w="770" w:type="pct"/>
            <w:vMerge w:val="restart"/>
          </w:tcPr>
          <w:p w14:paraId="4DD49A3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lastRenderedPageBreak/>
              <w:t>11/07/12</w:t>
            </w:r>
          </w:p>
          <w:p w14:paraId="702C5A1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</w:tcPr>
          <w:p w14:paraId="7089DE3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30/12/12</w:t>
            </w:r>
          </w:p>
        </w:tc>
      </w:tr>
      <w:tr w:rsidR="004771A5" w:rsidRPr="00550735" w14:paraId="751C5037" w14:textId="77777777" w:rsidTr="0088110A">
        <w:trPr>
          <w:trHeight w:val="412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0C8B128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0070C0"/>
                <w:sz w:val="20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E414AAF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</w:tcPr>
          <w:p w14:paraId="09DAFEDC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b/>
                <w:bCs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Organización del Concurso de Ideas Emprendedoras para Jóvenes, nivel nacional</w:t>
            </w:r>
          </w:p>
        </w:tc>
        <w:tc>
          <w:tcPr>
            <w:tcW w:w="770" w:type="pct"/>
            <w:vMerge/>
          </w:tcPr>
          <w:p w14:paraId="316FE4E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2CAC9D5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0EC97797" w14:textId="77777777" w:rsidTr="0088110A">
        <w:trPr>
          <w:trHeight w:val="412"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5A3E50B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  <w:p w14:paraId="23ABEE6D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32</w:t>
            </w:r>
          </w:p>
        </w:tc>
        <w:tc>
          <w:tcPr>
            <w:tcW w:w="916" w:type="pct"/>
            <w:vMerge w:val="restart"/>
            <w:shd w:val="clear" w:color="auto" w:fill="auto"/>
          </w:tcPr>
          <w:p w14:paraId="15E692EF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UNODC/</w:t>
            </w:r>
          </w:p>
          <w:p w14:paraId="499F8B4D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color w:val="000000"/>
                <w:sz w:val="20"/>
                <w:lang w:val="es-BO"/>
              </w:rPr>
              <w:t>En asociación con C</w:t>
            </w:r>
            <w:r w:rsidRPr="00550735">
              <w:rPr>
                <w:rFonts w:cstheme="minorHAnsi"/>
                <w:color w:val="000000"/>
                <w:spacing w:val="2"/>
                <w:sz w:val="20"/>
                <w:lang w:val="es-BO"/>
              </w:rPr>
              <w:t>o</w:t>
            </w:r>
            <w:r w:rsidRPr="00550735">
              <w:rPr>
                <w:rFonts w:cstheme="minorHAnsi"/>
                <w:color w:val="000000"/>
                <w:spacing w:val="-2"/>
                <w:sz w:val="20"/>
                <w:lang w:val="es-BO"/>
              </w:rPr>
              <w:t>n</w:t>
            </w:r>
            <w:r w:rsidRPr="00550735">
              <w:rPr>
                <w:rFonts w:cstheme="minorHAnsi"/>
                <w:color w:val="000000"/>
                <w:spacing w:val="1"/>
                <w:sz w:val="20"/>
                <w:lang w:val="es-BO"/>
              </w:rPr>
              <w:t>s</w:t>
            </w:r>
            <w:r w:rsidRPr="00550735">
              <w:rPr>
                <w:rFonts w:cstheme="minorHAnsi"/>
                <w:color w:val="000000"/>
                <w:spacing w:val="-2"/>
                <w:sz w:val="20"/>
                <w:lang w:val="es-BO"/>
              </w:rPr>
              <w:t>u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>l</w:t>
            </w:r>
            <w:r w:rsidRPr="00550735">
              <w:rPr>
                <w:rFonts w:cstheme="minorHAnsi"/>
                <w:color w:val="000000"/>
                <w:spacing w:val="3"/>
                <w:sz w:val="20"/>
                <w:lang w:val="es-BO"/>
              </w:rPr>
              <w:t>t</w:t>
            </w:r>
            <w:r w:rsidRPr="00550735">
              <w:rPr>
                <w:rFonts w:cstheme="minorHAnsi"/>
                <w:color w:val="000000"/>
                <w:spacing w:val="2"/>
                <w:sz w:val="20"/>
                <w:lang w:val="es-BO"/>
              </w:rPr>
              <w:t>o</w:t>
            </w:r>
            <w:r w:rsidRPr="00550735">
              <w:rPr>
                <w:rFonts w:cstheme="minorHAnsi"/>
                <w:color w:val="000000"/>
                <w:spacing w:val="-2"/>
                <w:sz w:val="20"/>
                <w:lang w:val="es-BO"/>
              </w:rPr>
              <w:t>r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>a</w:t>
            </w:r>
            <w:r w:rsidRPr="00550735">
              <w:rPr>
                <w:rFonts w:cstheme="minorHAnsi"/>
                <w:color w:val="000000"/>
                <w:spacing w:val="-13"/>
                <w:sz w:val="20"/>
                <w:lang w:val="es-BO"/>
              </w:rPr>
              <w:t xml:space="preserve"> </w:t>
            </w:r>
            <w:proofErr w:type="spellStart"/>
            <w:r w:rsidRPr="00550735">
              <w:rPr>
                <w:rFonts w:cstheme="minorHAnsi"/>
                <w:color w:val="000000"/>
                <w:sz w:val="20"/>
                <w:lang w:val="es-BO"/>
              </w:rPr>
              <w:t>SAX</w:t>
            </w:r>
            <w:r w:rsidRPr="00550735">
              <w:rPr>
                <w:rFonts w:cstheme="minorHAnsi"/>
                <w:color w:val="000000"/>
                <w:spacing w:val="1"/>
                <w:sz w:val="20"/>
                <w:lang w:val="es-BO"/>
              </w:rPr>
              <w:t>g</w:t>
            </w:r>
            <w:r w:rsidRPr="00550735">
              <w:rPr>
                <w:rFonts w:cstheme="minorHAnsi"/>
                <w:color w:val="000000"/>
                <w:spacing w:val="-2"/>
                <w:sz w:val="20"/>
                <w:lang w:val="es-BO"/>
              </w:rPr>
              <w:t>r</w:t>
            </w:r>
            <w:proofErr w:type="spellEnd"/>
          </w:p>
          <w:p w14:paraId="08AFF6D2" w14:textId="77777777" w:rsidR="004771A5" w:rsidRPr="00550735" w:rsidRDefault="004771A5" w:rsidP="0088110A">
            <w:pPr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619C94B4" w14:textId="77777777" w:rsidR="004771A5" w:rsidRPr="00550735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color w:val="000000"/>
                <w:sz w:val="20"/>
                <w:lang w:val="es-BO"/>
              </w:rPr>
            </w:pPr>
            <w:r w:rsidRPr="00550735">
              <w:rPr>
                <w:rFonts w:cstheme="minorHAnsi"/>
                <w:iCs/>
                <w:color w:val="000000"/>
                <w:sz w:val="20"/>
                <w:lang w:val="es-BO"/>
              </w:rPr>
              <w:t>Diagnóstico institucional y propuesta de fortalecimiento</w:t>
            </w:r>
            <w:r w:rsidRPr="00550735">
              <w:rPr>
                <w:rFonts w:cstheme="minorHAnsi"/>
                <w:i/>
                <w:color w:val="000000"/>
                <w:sz w:val="20"/>
                <w:lang w:val="es-BO"/>
              </w:rPr>
              <w:t xml:space="preserve"> </w:t>
            </w:r>
            <w:r w:rsidRPr="00550735">
              <w:rPr>
                <w:rFonts w:cstheme="minorHAnsi"/>
                <w:color w:val="000000"/>
                <w:sz w:val="20"/>
                <w:lang w:val="es-BO"/>
              </w:rPr>
              <w:t>programa de desarrollo integral con coca.</w:t>
            </w:r>
          </w:p>
        </w:tc>
        <w:tc>
          <w:tcPr>
            <w:tcW w:w="770" w:type="pct"/>
            <w:vMerge w:val="restart"/>
          </w:tcPr>
          <w:p w14:paraId="4F01A2F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07/08/12</w:t>
            </w:r>
          </w:p>
          <w:p w14:paraId="0CD6CFCE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 w:val="restart"/>
          </w:tcPr>
          <w:p w14:paraId="27EECA09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07/12/12</w:t>
            </w:r>
          </w:p>
        </w:tc>
      </w:tr>
      <w:tr w:rsidR="004771A5" w:rsidRPr="00550735" w14:paraId="40459B20" w14:textId="77777777" w:rsidTr="0088110A">
        <w:trPr>
          <w:trHeight w:val="485"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61FD97C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</w:p>
        </w:tc>
        <w:tc>
          <w:tcPr>
            <w:tcW w:w="916" w:type="pct"/>
            <w:vMerge/>
            <w:shd w:val="clear" w:color="auto" w:fill="auto"/>
          </w:tcPr>
          <w:p w14:paraId="58B552F0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BO"/>
              </w:rPr>
            </w:pPr>
          </w:p>
        </w:tc>
        <w:tc>
          <w:tcPr>
            <w:tcW w:w="2085" w:type="pct"/>
            <w:shd w:val="clear" w:color="auto" w:fill="auto"/>
            <w:vAlign w:val="center"/>
          </w:tcPr>
          <w:p w14:paraId="3F3B9542" w14:textId="77777777" w:rsidR="004771A5" w:rsidRPr="00DC5C34" w:rsidRDefault="004771A5" w:rsidP="0088110A">
            <w:pPr>
              <w:widowControl w:val="0"/>
              <w:autoSpaceDE w:val="0"/>
              <w:autoSpaceDN w:val="0"/>
              <w:adjustRightInd w:val="0"/>
              <w:ind w:right="6"/>
              <w:contextualSpacing/>
              <w:rPr>
                <w:rFonts w:cstheme="minorHAnsi"/>
                <w:iCs/>
                <w:color w:val="000000"/>
                <w:sz w:val="20"/>
                <w:lang w:val="es-BO"/>
              </w:rPr>
            </w:pPr>
            <w:r w:rsidRPr="00DC5C34">
              <w:rPr>
                <w:rFonts w:cstheme="minorHAnsi"/>
                <w:iCs/>
                <w:color w:val="000000"/>
                <w:sz w:val="20"/>
                <w:lang w:val="es-BO"/>
              </w:rPr>
              <w:t>Transversalización de género</w:t>
            </w:r>
            <w:r w:rsidRPr="00DC5C34">
              <w:rPr>
                <w:rFonts w:cstheme="minorHAnsi"/>
                <w:color w:val="000000"/>
                <w:sz w:val="20"/>
                <w:lang w:val="es-BO"/>
              </w:rPr>
              <w:t>.</w:t>
            </w:r>
          </w:p>
        </w:tc>
        <w:tc>
          <w:tcPr>
            <w:tcW w:w="770" w:type="pct"/>
            <w:vMerge/>
          </w:tcPr>
          <w:p w14:paraId="6BD9D72C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66" w:type="pct"/>
            <w:vMerge/>
          </w:tcPr>
          <w:p w14:paraId="1F2096CB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  <w:tr w:rsidR="004771A5" w:rsidRPr="00550735" w14:paraId="26B5AEA4" w14:textId="77777777" w:rsidTr="0088110A">
        <w:trPr>
          <w:trHeight w:val="1006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95CE900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</w:t>
            </w:r>
          </w:p>
        </w:tc>
        <w:tc>
          <w:tcPr>
            <w:tcW w:w="916" w:type="pct"/>
          </w:tcPr>
          <w:p w14:paraId="0C637EB1" w14:textId="77777777" w:rsidR="004771A5" w:rsidRPr="00550735" w:rsidRDefault="004771A5" w:rsidP="0088110A">
            <w:pPr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</w:rPr>
              <w:t>Cooperación Técnica Belga</w:t>
            </w:r>
          </w:p>
        </w:tc>
        <w:tc>
          <w:tcPr>
            <w:tcW w:w="2085" w:type="pct"/>
            <w:shd w:val="clear" w:color="auto" w:fill="auto"/>
          </w:tcPr>
          <w:p w14:paraId="60001009" w14:textId="77777777" w:rsidR="004771A5" w:rsidRPr="00DC5C34" w:rsidRDefault="004771A5" w:rsidP="0088110A">
            <w:pPr>
              <w:rPr>
                <w:rFonts w:cstheme="minorHAnsi"/>
                <w:sz w:val="20"/>
              </w:rPr>
            </w:pPr>
            <w:r w:rsidRPr="00DC5C34">
              <w:rPr>
                <w:rFonts w:cstheme="minorHAnsi"/>
                <w:color w:val="000000"/>
                <w:sz w:val="20"/>
              </w:rPr>
              <w:t>Ela</w:t>
            </w:r>
            <w:r w:rsidRPr="00DC5C34">
              <w:rPr>
                <w:rFonts w:cstheme="minorHAnsi"/>
                <w:color w:val="000000"/>
                <w:spacing w:val="3"/>
                <w:sz w:val="20"/>
              </w:rPr>
              <w:t>b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o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r</w:t>
            </w:r>
            <w:r w:rsidRPr="00DC5C34">
              <w:rPr>
                <w:rFonts w:cstheme="minorHAnsi"/>
                <w:color w:val="000000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pacing w:val="3"/>
                <w:sz w:val="20"/>
              </w:rPr>
              <w:t>c</w:t>
            </w:r>
            <w:r w:rsidRPr="00DC5C34">
              <w:rPr>
                <w:rFonts w:cstheme="minorHAnsi"/>
                <w:color w:val="000000"/>
                <w:sz w:val="20"/>
              </w:rPr>
              <w:t>i</w:t>
            </w:r>
            <w:r w:rsidRPr="00DC5C34">
              <w:rPr>
                <w:rFonts w:cstheme="minorHAnsi"/>
                <w:color w:val="000000"/>
                <w:spacing w:val="3"/>
                <w:sz w:val="20"/>
              </w:rPr>
              <w:t>ó</w:t>
            </w:r>
            <w:r w:rsidRPr="00DC5C34">
              <w:rPr>
                <w:rFonts w:cstheme="minorHAnsi"/>
                <w:color w:val="000000"/>
                <w:sz w:val="20"/>
              </w:rPr>
              <w:t>n</w:t>
            </w:r>
            <w:r w:rsidRPr="00DC5C34">
              <w:rPr>
                <w:rFonts w:cstheme="minorHAnsi"/>
                <w:color w:val="000000"/>
                <w:spacing w:val="-14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d</w:t>
            </w:r>
            <w:r w:rsidRPr="00DC5C34">
              <w:rPr>
                <w:rFonts w:cstheme="minorHAnsi"/>
                <w:color w:val="000000"/>
                <w:sz w:val="20"/>
              </w:rPr>
              <w:t>e</w:t>
            </w:r>
            <w:r w:rsidRPr="00DC5C34">
              <w:rPr>
                <w:rFonts w:cstheme="minorHAnsi"/>
                <w:color w:val="000000"/>
                <w:spacing w:val="-3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pacing w:val="4"/>
                <w:sz w:val="20"/>
              </w:rPr>
              <w:t>g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u</w:t>
            </w:r>
            <w:r w:rsidRPr="00DC5C34">
              <w:rPr>
                <w:rFonts w:cstheme="minorHAnsi"/>
                <w:color w:val="000000"/>
                <w:sz w:val="20"/>
              </w:rPr>
              <w:t>ías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me</w:t>
            </w:r>
            <w:r w:rsidRPr="00DC5C34">
              <w:rPr>
                <w:rFonts w:cstheme="minorHAnsi"/>
                <w:color w:val="000000"/>
                <w:spacing w:val="-4"/>
                <w:sz w:val="20"/>
              </w:rPr>
              <w:t>t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o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d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o</w:t>
            </w:r>
            <w:r w:rsidRPr="00DC5C34">
              <w:rPr>
                <w:rFonts w:cstheme="minorHAnsi"/>
                <w:color w:val="000000"/>
                <w:sz w:val="20"/>
              </w:rPr>
              <w:t>l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ó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g</w:t>
            </w:r>
            <w:r w:rsidRPr="00DC5C34">
              <w:rPr>
                <w:rFonts w:cstheme="minorHAnsi"/>
                <w:color w:val="000000"/>
                <w:sz w:val="20"/>
              </w:rPr>
              <w:t>i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c</w:t>
            </w:r>
            <w:r w:rsidRPr="00DC5C34">
              <w:rPr>
                <w:rFonts w:cstheme="minorHAnsi"/>
                <w:color w:val="000000"/>
                <w:spacing w:val="-4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z w:val="20"/>
              </w:rPr>
              <w:t>s</w:t>
            </w:r>
            <w:r w:rsidRPr="00DC5C34">
              <w:rPr>
                <w:rFonts w:cstheme="minorHAnsi"/>
                <w:color w:val="000000"/>
                <w:spacing w:val="-13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pa</w:t>
            </w:r>
            <w:r w:rsidRPr="00DC5C34">
              <w:rPr>
                <w:rFonts w:cstheme="minorHAnsi"/>
                <w:color w:val="000000"/>
                <w:spacing w:val="-1"/>
                <w:sz w:val="20"/>
              </w:rPr>
              <w:t>r</w:t>
            </w:r>
            <w:r w:rsidRPr="00DC5C34">
              <w:rPr>
                <w:rFonts w:cstheme="minorHAnsi"/>
                <w:color w:val="000000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pacing w:val="-5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pacing w:val="-2"/>
                <w:sz w:val="20"/>
              </w:rPr>
              <w:t>t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r</w:t>
            </w:r>
            <w:r w:rsidRPr="00DC5C34">
              <w:rPr>
                <w:rFonts w:cstheme="minorHAnsi"/>
                <w:color w:val="000000"/>
                <w:sz w:val="20"/>
              </w:rPr>
              <w:t>ansver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s</w:t>
            </w:r>
            <w:r w:rsidRPr="00DC5C34">
              <w:rPr>
                <w:rFonts w:cstheme="minorHAnsi"/>
                <w:color w:val="000000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pacing w:val="-3"/>
                <w:sz w:val="20"/>
              </w:rPr>
              <w:t>l</w:t>
            </w:r>
            <w:r w:rsidRPr="00DC5C34">
              <w:rPr>
                <w:rFonts w:cstheme="minorHAnsi"/>
                <w:color w:val="000000"/>
                <w:spacing w:val="4"/>
                <w:sz w:val="20"/>
              </w:rPr>
              <w:t>iz</w:t>
            </w:r>
            <w:r w:rsidRPr="00DC5C34">
              <w:rPr>
                <w:rFonts w:cstheme="minorHAnsi"/>
                <w:color w:val="000000"/>
                <w:spacing w:val="-5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z w:val="20"/>
              </w:rPr>
              <w:t>c</w:t>
            </w:r>
            <w:r w:rsidRPr="00DC5C34">
              <w:rPr>
                <w:rFonts w:cstheme="minorHAnsi"/>
                <w:color w:val="000000"/>
                <w:spacing w:val="-3"/>
                <w:sz w:val="20"/>
              </w:rPr>
              <w:t>i</w:t>
            </w:r>
            <w:r w:rsidRPr="00DC5C34">
              <w:rPr>
                <w:rFonts w:cstheme="minorHAnsi"/>
                <w:color w:val="000000"/>
                <w:spacing w:val="4"/>
                <w:sz w:val="20"/>
              </w:rPr>
              <w:t>ó</w:t>
            </w:r>
            <w:r w:rsidRPr="00DC5C34">
              <w:rPr>
                <w:rFonts w:cstheme="minorHAnsi"/>
                <w:color w:val="000000"/>
                <w:sz w:val="20"/>
              </w:rPr>
              <w:t>n</w:t>
            </w:r>
            <w:r w:rsidRPr="00DC5C34">
              <w:rPr>
                <w:rFonts w:cstheme="minorHAnsi"/>
                <w:color w:val="000000"/>
                <w:spacing w:val="-20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de</w:t>
            </w:r>
            <w:r w:rsidRPr="00DC5C34">
              <w:rPr>
                <w:rFonts w:cstheme="minorHAnsi"/>
                <w:color w:val="000000"/>
                <w:spacing w:val="-3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géne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r</w:t>
            </w:r>
            <w:r w:rsidRPr="00DC5C34">
              <w:rPr>
                <w:rFonts w:cstheme="minorHAnsi"/>
                <w:color w:val="000000"/>
                <w:sz w:val="20"/>
              </w:rPr>
              <w:t>o y</w:t>
            </w:r>
            <w:r w:rsidRPr="00DC5C34">
              <w:rPr>
                <w:rFonts w:cstheme="minorHAnsi"/>
                <w:color w:val="000000"/>
                <w:spacing w:val="5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pacing w:val="-7"/>
                <w:sz w:val="20"/>
              </w:rPr>
              <w:t>m</w:t>
            </w:r>
            <w:r w:rsidRPr="00DC5C34">
              <w:rPr>
                <w:rFonts w:cstheme="minorHAnsi"/>
                <w:color w:val="000000"/>
                <w:sz w:val="20"/>
              </w:rPr>
              <w:t>ed</w:t>
            </w:r>
            <w:r w:rsidRPr="00DC5C34">
              <w:rPr>
                <w:rFonts w:cstheme="minorHAnsi"/>
                <w:color w:val="000000"/>
                <w:spacing w:val="7"/>
                <w:sz w:val="20"/>
              </w:rPr>
              <w:t>i</w:t>
            </w:r>
            <w:r w:rsidRPr="00DC5C34">
              <w:rPr>
                <w:rFonts w:cstheme="minorHAnsi"/>
                <w:color w:val="000000"/>
                <w:sz w:val="20"/>
              </w:rPr>
              <w:t>o</w:t>
            </w:r>
            <w:r w:rsidRPr="00DC5C34">
              <w:rPr>
                <w:rFonts w:cstheme="minorHAnsi"/>
                <w:color w:val="000000"/>
                <w:spacing w:val="-7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a</w:t>
            </w:r>
            <w:r w:rsidRPr="00DC5C34">
              <w:rPr>
                <w:rFonts w:cstheme="minorHAnsi"/>
                <w:color w:val="000000"/>
                <w:spacing w:val="-4"/>
                <w:sz w:val="20"/>
              </w:rPr>
              <w:t>m</w:t>
            </w:r>
            <w:r w:rsidRPr="00DC5C34">
              <w:rPr>
                <w:rFonts w:cstheme="minorHAnsi"/>
                <w:color w:val="000000"/>
                <w:sz w:val="20"/>
              </w:rPr>
              <w:t>b</w:t>
            </w:r>
            <w:r w:rsidRPr="00DC5C34">
              <w:rPr>
                <w:rFonts w:cstheme="minorHAnsi"/>
                <w:color w:val="000000"/>
                <w:spacing w:val="6"/>
                <w:sz w:val="20"/>
              </w:rPr>
              <w:t>i</w:t>
            </w:r>
            <w:r w:rsidRPr="00DC5C34">
              <w:rPr>
                <w:rFonts w:cstheme="minorHAnsi"/>
                <w:color w:val="000000"/>
                <w:sz w:val="20"/>
              </w:rPr>
              <w:t>ente</w:t>
            </w:r>
            <w:r w:rsidRPr="00DC5C34">
              <w:rPr>
                <w:rFonts w:cstheme="minorHAnsi"/>
                <w:color w:val="000000"/>
                <w:spacing w:val="-11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en</w:t>
            </w:r>
            <w:r w:rsidRPr="00DC5C34">
              <w:rPr>
                <w:rFonts w:cstheme="minorHAnsi"/>
                <w:color w:val="000000"/>
                <w:spacing w:val="-3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z w:val="20"/>
              </w:rPr>
              <w:t>p</w:t>
            </w:r>
            <w:r w:rsidRPr="00DC5C34">
              <w:rPr>
                <w:rFonts w:cstheme="minorHAnsi"/>
                <w:color w:val="000000"/>
                <w:spacing w:val="2"/>
                <w:sz w:val="20"/>
              </w:rPr>
              <w:t>r</w:t>
            </w:r>
            <w:r w:rsidRPr="00DC5C34">
              <w:rPr>
                <w:rFonts w:cstheme="minorHAnsi"/>
                <w:color w:val="000000"/>
                <w:sz w:val="20"/>
              </w:rPr>
              <w:t>oyectos</w:t>
            </w:r>
            <w:r w:rsidRPr="00DC5C34">
              <w:rPr>
                <w:rFonts w:cstheme="minorHAnsi"/>
                <w:color w:val="000000"/>
                <w:spacing w:val="-10"/>
                <w:sz w:val="20"/>
              </w:rPr>
              <w:t xml:space="preserve"> </w:t>
            </w:r>
            <w:r w:rsidRPr="00DC5C34">
              <w:rPr>
                <w:rFonts w:cstheme="minorHAnsi"/>
                <w:color w:val="000000"/>
                <w:spacing w:val="1"/>
                <w:sz w:val="20"/>
              </w:rPr>
              <w:t>de la Cooperación Técnica Belga en Bolivia.</w:t>
            </w:r>
          </w:p>
        </w:tc>
        <w:tc>
          <w:tcPr>
            <w:tcW w:w="770" w:type="pct"/>
          </w:tcPr>
          <w:p w14:paraId="7D740AE6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28/06/12</w:t>
            </w:r>
          </w:p>
        </w:tc>
        <w:tc>
          <w:tcPr>
            <w:tcW w:w="866" w:type="pct"/>
          </w:tcPr>
          <w:p w14:paraId="67D30D64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sz w:val="20"/>
              </w:rPr>
              <w:t>28/09/12</w:t>
            </w:r>
          </w:p>
        </w:tc>
      </w:tr>
      <w:tr w:rsidR="004771A5" w:rsidRPr="00550735" w14:paraId="6A62198E" w14:textId="77777777" w:rsidTr="0088110A">
        <w:trPr>
          <w:trHeight w:val="1024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2F97FFA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b/>
                <w:bCs/>
                <w:color w:val="C45911" w:themeColor="accent2" w:themeShade="BF"/>
                <w:sz w:val="20"/>
              </w:rPr>
            </w:pPr>
            <w:r w:rsidRPr="00550735"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3</w:t>
            </w:r>
            <w:r>
              <w:rPr>
                <w:rFonts w:cstheme="minorHAnsi"/>
                <w:b/>
                <w:bCs/>
                <w:color w:val="C45911" w:themeColor="accent2" w:themeShade="BF"/>
                <w:sz w:val="20"/>
              </w:rPr>
              <w:t>4</w:t>
            </w:r>
          </w:p>
        </w:tc>
        <w:tc>
          <w:tcPr>
            <w:tcW w:w="916" w:type="pct"/>
            <w:shd w:val="clear" w:color="auto" w:fill="auto"/>
          </w:tcPr>
          <w:p w14:paraId="58AF6EB6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EC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Mancomunidad de Municipios Mineros</w:t>
            </w:r>
          </w:p>
          <w:p w14:paraId="5D37349A" w14:textId="77777777" w:rsidR="004771A5" w:rsidRPr="00550735" w:rsidRDefault="004771A5" w:rsidP="0088110A">
            <w:pPr>
              <w:rPr>
                <w:rFonts w:cstheme="minorHAnsi"/>
                <w:color w:val="000000"/>
                <w:sz w:val="20"/>
                <w:lang w:val="es-EC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En asociación con ONG RUWANA</w:t>
            </w:r>
          </w:p>
        </w:tc>
        <w:tc>
          <w:tcPr>
            <w:tcW w:w="2085" w:type="pct"/>
            <w:shd w:val="clear" w:color="auto" w:fill="auto"/>
          </w:tcPr>
          <w:p w14:paraId="29E9D4C8" w14:textId="77777777" w:rsidR="004771A5" w:rsidRPr="00DC5C34" w:rsidRDefault="004771A5" w:rsidP="0088110A">
            <w:pPr>
              <w:rPr>
                <w:rFonts w:cstheme="minorHAnsi"/>
                <w:color w:val="000000"/>
                <w:sz w:val="20"/>
                <w:lang w:val="es-EC"/>
              </w:rPr>
            </w:pPr>
            <w:r w:rsidRPr="00DC5C34">
              <w:rPr>
                <w:rFonts w:cstheme="minorHAnsi"/>
                <w:color w:val="000000"/>
                <w:sz w:val="20"/>
                <w:lang w:val="es-EC"/>
              </w:rPr>
              <w:t>Plan Estratégico Institucional de la Mancomunidad Minera de Oruro.</w:t>
            </w:r>
          </w:p>
          <w:p w14:paraId="0A94D886" w14:textId="77777777" w:rsidR="004771A5" w:rsidRPr="00DC5C34" w:rsidRDefault="004771A5" w:rsidP="0088110A">
            <w:pPr>
              <w:rPr>
                <w:rFonts w:cstheme="minorHAnsi"/>
                <w:color w:val="000000"/>
                <w:sz w:val="20"/>
                <w:lang w:val="es-EC"/>
              </w:rPr>
            </w:pPr>
          </w:p>
        </w:tc>
        <w:tc>
          <w:tcPr>
            <w:tcW w:w="770" w:type="pct"/>
            <w:shd w:val="clear" w:color="auto" w:fill="auto"/>
          </w:tcPr>
          <w:p w14:paraId="0B433452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17/12/2011</w:t>
            </w:r>
          </w:p>
        </w:tc>
        <w:tc>
          <w:tcPr>
            <w:tcW w:w="866" w:type="pct"/>
            <w:shd w:val="clear" w:color="auto" w:fill="auto"/>
          </w:tcPr>
          <w:p w14:paraId="2C3AE4A3" w14:textId="77777777" w:rsidR="004771A5" w:rsidRPr="00550735" w:rsidRDefault="004771A5" w:rsidP="0088110A">
            <w:pPr>
              <w:spacing w:before="120" w:after="120"/>
              <w:jc w:val="center"/>
              <w:rPr>
                <w:rFonts w:cstheme="minorHAnsi"/>
                <w:sz w:val="20"/>
              </w:rPr>
            </w:pPr>
            <w:r w:rsidRPr="00550735">
              <w:rPr>
                <w:rFonts w:cstheme="minorHAnsi"/>
                <w:color w:val="000000"/>
                <w:sz w:val="20"/>
                <w:lang w:val="es-EC"/>
              </w:rPr>
              <w:t>16/03/2012</w:t>
            </w:r>
          </w:p>
        </w:tc>
      </w:tr>
    </w:tbl>
    <w:p w14:paraId="7F71CB94" w14:textId="5D89085E" w:rsidR="004771A5" w:rsidRPr="006D0459" w:rsidRDefault="006D0459" w:rsidP="004771A5">
      <w:pPr>
        <w:rPr>
          <w:b/>
          <w:bCs/>
          <w:sz w:val="18"/>
          <w:szCs w:val="18"/>
        </w:rPr>
      </w:pPr>
      <w:r w:rsidRPr="006D0459">
        <w:rPr>
          <w:b/>
          <w:bCs/>
          <w:sz w:val="18"/>
          <w:szCs w:val="18"/>
        </w:rPr>
        <w:t xml:space="preserve">Fuente: </w:t>
      </w:r>
      <w:r w:rsidRPr="006D0459">
        <w:rPr>
          <w:sz w:val="18"/>
          <w:szCs w:val="18"/>
        </w:rPr>
        <w:t>Elaboración propia.</w:t>
      </w:r>
    </w:p>
    <w:p w14:paraId="3AE1DC34" w14:textId="4210B733" w:rsidR="00771202" w:rsidRPr="002E69D6" w:rsidRDefault="00771202" w:rsidP="00167384">
      <w:pPr>
        <w:pStyle w:val="Prrafodelista"/>
        <w:numPr>
          <w:ilvl w:val="0"/>
          <w:numId w:val="4"/>
        </w:numPr>
        <w:rPr>
          <w:b/>
          <w:bCs/>
        </w:rPr>
      </w:pPr>
      <w:r w:rsidRPr="002E69D6">
        <w:rPr>
          <w:b/>
          <w:bCs/>
        </w:rPr>
        <w:t>R</w:t>
      </w:r>
      <w:r w:rsidRPr="002E69D6">
        <w:rPr>
          <w:b/>
          <w:bCs/>
        </w:rPr>
        <w:t>ol de los miembros del equipo</w:t>
      </w:r>
      <w:r w:rsidRPr="002E69D6">
        <w:rPr>
          <w:b/>
          <w:bCs/>
        </w:rPr>
        <w:t>.</w:t>
      </w:r>
    </w:p>
    <w:p w14:paraId="3A2AC2D5" w14:textId="77777777" w:rsidR="002E69D6" w:rsidRDefault="002E69D6" w:rsidP="002E69D6">
      <w:pPr>
        <w:jc w:val="both"/>
      </w:pPr>
      <w:r>
        <w:t xml:space="preserve">Los miembros del equipo contaran con los mismos roles en función a cada departamento asignado, es decir, que deberán coordinar con las contrapartes del estudio, es decir, </w:t>
      </w:r>
      <w:r>
        <w:t>director</w:t>
      </w:r>
      <w:r>
        <w:t>e</w:t>
      </w:r>
      <w:r>
        <w:t>s</w:t>
      </w:r>
      <w:r>
        <w:t>/as y médicos</w:t>
      </w:r>
      <w:r>
        <w:t xml:space="preserve"> de los establecimientos de salud, abogados y agentes comunitarios</w:t>
      </w:r>
      <w:r>
        <w:t xml:space="preserve"> determinados. </w:t>
      </w:r>
    </w:p>
    <w:p w14:paraId="7D654011" w14:textId="13F35E28" w:rsidR="002E69D6" w:rsidRDefault="002E69D6" w:rsidP="002E69D6">
      <w:pPr>
        <w:jc w:val="both"/>
      </w:pPr>
      <w:r>
        <w:t>Para la realización del operativo de campo se tiene previsto realizar cada departamento en 1,5 días, es decir, contando el desplazamiento por vía terrestre y</w:t>
      </w:r>
      <w:r w:rsidR="00B97904">
        <w:t>/o</w:t>
      </w:r>
      <w:r>
        <w:t xml:space="preserve"> aérea de cada consultor</w:t>
      </w:r>
      <w:r w:rsidR="00B97904">
        <w:t xml:space="preserve"> que tenga que trasladarse</w:t>
      </w:r>
      <w:r>
        <w:t xml:space="preserve">. Para las entrevistas telefónicas y virtuales se tiene previsto 2,5 días adicionales. En total, por consultor, se requerirán </w:t>
      </w:r>
      <w:r w:rsidR="00B97904">
        <w:t xml:space="preserve">entre 3 a </w:t>
      </w:r>
      <w:proofErr w:type="gramStart"/>
      <w:r w:rsidR="00B97904">
        <w:t xml:space="preserve">6 </w:t>
      </w:r>
      <w:r>
        <w:t xml:space="preserve"> días</w:t>
      </w:r>
      <w:proofErr w:type="gramEnd"/>
      <w:r>
        <w:t xml:space="preserve"> de trabajo de campo.</w:t>
      </w:r>
    </w:p>
    <w:p w14:paraId="310990DA" w14:textId="0EBCECB5" w:rsidR="002E69D6" w:rsidRDefault="002E69D6" w:rsidP="00921339">
      <w:pPr>
        <w:jc w:val="both"/>
      </w:pPr>
      <w:r>
        <w:t xml:space="preserve">Por su parte, el procesamiento de información requerirá 5 días adicionales, 3 de manera individual y </w:t>
      </w:r>
      <w:r w:rsidR="00921339">
        <w:t>2</w:t>
      </w:r>
      <w:r>
        <w:t xml:space="preserve"> de manera </w:t>
      </w:r>
      <w:r w:rsidR="00921339">
        <w:t>grupal, llegando a consolidar los resultados del estudio. Por su parte, cada miembro del equipo será responsable del desplazamiento en los departamentos y municipios asignados, el levantamiento de información, y el procesamiento, limpieza y sistematización de datos.</w:t>
      </w:r>
    </w:p>
    <w:p w14:paraId="782790A0" w14:textId="1E90DE76" w:rsidR="00167384" w:rsidRPr="00921339" w:rsidRDefault="00167384" w:rsidP="00921339">
      <w:pPr>
        <w:pStyle w:val="Prrafodelista"/>
        <w:numPr>
          <w:ilvl w:val="0"/>
          <w:numId w:val="4"/>
        </w:numPr>
        <w:rPr>
          <w:b/>
          <w:bCs/>
        </w:rPr>
      </w:pPr>
      <w:r w:rsidRPr="00921339">
        <w:rPr>
          <w:b/>
          <w:bCs/>
        </w:rPr>
        <w:t>Confidencialidad</w:t>
      </w:r>
    </w:p>
    <w:p w14:paraId="251986EC" w14:textId="5F59CF51" w:rsidR="00923E1F" w:rsidRDefault="00167384" w:rsidP="00921339">
      <w:pPr>
        <w:jc w:val="both"/>
      </w:pPr>
      <w:r w:rsidRPr="00167384">
        <w:t xml:space="preserve">La empresa se compromete al manejo confidencial de la información y se debe comprometer a entregar a </w:t>
      </w:r>
      <w:proofErr w:type="spellStart"/>
      <w:r w:rsidRPr="00167384">
        <w:t>Ipas</w:t>
      </w:r>
      <w:proofErr w:type="spellEnd"/>
      <w:r w:rsidRPr="00167384">
        <w:t xml:space="preserve"> toda la información recolectada y borrar cualquier información física o digital que disponga.</w:t>
      </w:r>
    </w:p>
    <w:p w14:paraId="33BBC139" w14:textId="6715F92F" w:rsidR="0027424C" w:rsidRPr="0027424C" w:rsidRDefault="0027424C" w:rsidP="0027424C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27424C">
        <w:rPr>
          <w:b/>
          <w:bCs/>
        </w:rPr>
        <w:lastRenderedPageBreak/>
        <w:t>Presupuesto</w:t>
      </w:r>
    </w:p>
    <w:p w14:paraId="562B919F" w14:textId="19F7A16C" w:rsidR="0027424C" w:rsidRDefault="0027424C" w:rsidP="00921339">
      <w:pPr>
        <w:jc w:val="both"/>
      </w:pPr>
      <w:r>
        <w:t>A continuación, se presenta el presupuesto previsto para la realización de la consultoría: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60"/>
        <w:gridCol w:w="820"/>
        <w:gridCol w:w="940"/>
        <w:gridCol w:w="1040"/>
      </w:tblGrid>
      <w:tr w:rsidR="0027424C" w:rsidRPr="0027424C" w14:paraId="32F37B7A" w14:textId="77777777" w:rsidTr="0027424C">
        <w:trPr>
          <w:trHeight w:val="51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23E4F"/>
            <w:vAlign w:val="center"/>
            <w:hideMark/>
          </w:tcPr>
          <w:p w14:paraId="57B3367E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  <w:t>Descripción de actividad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3E4F"/>
            <w:vAlign w:val="center"/>
            <w:hideMark/>
          </w:tcPr>
          <w:p w14:paraId="113E714B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  <w:t>Remuneración (en Bs.)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3E4F"/>
            <w:vAlign w:val="center"/>
            <w:hideMark/>
          </w:tcPr>
          <w:p w14:paraId="238D04D8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  <w:t>Unidad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3E4F"/>
            <w:vAlign w:val="center"/>
            <w:hideMark/>
          </w:tcPr>
          <w:p w14:paraId="73FF8797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  <w:t>Cantidad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3E4F"/>
            <w:vAlign w:val="center"/>
            <w:hideMark/>
          </w:tcPr>
          <w:p w14:paraId="2D01A3BE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FFFFFF"/>
                <w:kern w:val="0"/>
                <w:lang w:eastAsia="es-ES"/>
                <w14:ligatures w14:val="none"/>
              </w:rPr>
              <w:t>Total</w:t>
            </w:r>
          </w:p>
        </w:tc>
      </w:tr>
      <w:tr w:rsidR="0027424C" w:rsidRPr="0027424C" w14:paraId="71DFF12B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DCA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I. Servicios de personal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8963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DFD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047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490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7424C" w:rsidRPr="0027424C" w14:paraId="733FFDFF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E4D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1. Servicios personales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973A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824F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C4D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A60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7424C" w:rsidRPr="0027424C" w14:paraId="1EFB51D9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19D7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a. Profesional especialista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734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3.500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05F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C58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AF2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3.500</w:t>
            </w:r>
          </w:p>
        </w:tc>
      </w:tr>
      <w:tr w:rsidR="0027424C" w:rsidRPr="0027424C" w14:paraId="2808B475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B5F2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b. Profesional especialista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CAA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2.500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EA0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B29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CA7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2.500</w:t>
            </w:r>
          </w:p>
        </w:tc>
      </w:tr>
      <w:tr w:rsidR="0027424C" w:rsidRPr="0027424C" w14:paraId="3D5DC65B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269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c. Equipo de investigadoras/es (4 personas)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520B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5.000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90E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563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C65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5.000</w:t>
            </w:r>
          </w:p>
        </w:tc>
      </w:tr>
      <w:tr w:rsidR="0027424C" w:rsidRPr="0027424C" w14:paraId="45999333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5A13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II. Gastos de bolsillo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84D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CF1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E184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683C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7424C" w:rsidRPr="0027424C" w14:paraId="4DC27586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75B" w14:textId="2B277CCC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1. Pasajes La Paz - Oruro (tierra)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9101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020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global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086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071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80</w:t>
            </w:r>
          </w:p>
        </w:tc>
      </w:tr>
      <w:tr w:rsidR="0027424C" w:rsidRPr="0027424C" w14:paraId="103EF91D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18B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2. Pasajes Oruro - Potosí (tierra)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F7F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85A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global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C6AD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43F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240</w:t>
            </w:r>
          </w:p>
        </w:tc>
      </w:tr>
      <w:tr w:rsidR="0027424C" w:rsidRPr="0027424C" w14:paraId="45E507E2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7C8D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3. Pasaje La Paz - Cochabamba (tierra)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974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72C6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global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4AD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D62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240</w:t>
            </w:r>
          </w:p>
        </w:tc>
      </w:tr>
      <w:tr w:rsidR="0027424C" w:rsidRPr="0027424C" w14:paraId="6627BDC0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342D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4. Pasaje Santa Cruz - Beni (aire)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2B4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8CB6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pasaje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FA3B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AA7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800</w:t>
            </w:r>
          </w:p>
        </w:tc>
      </w:tr>
      <w:tr w:rsidR="0027424C" w:rsidRPr="0027424C" w14:paraId="48DC0BE6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AB9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5. Viáticos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B3B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FF8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día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F9F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A6B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2.500</w:t>
            </w:r>
          </w:p>
        </w:tc>
      </w:tr>
      <w:tr w:rsidR="0027424C" w:rsidRPr="0027424C" w14:paraId="51DF549D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84D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 6. Traslado ida y vuelta </w:t>
            </w:r>
            <w:proofErr w:type="spellStart"/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aeropueto</w:t>
            </w:r>
            <w:proofErr w:type="spellEnd"/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/terminal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9254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90FC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viaje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FAD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B84D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600</w:t>
            </w:r>
          </w:p>
        </w:tc>
      </w:tr>
      <w:tr w:rsidR="0027424C" w:rsidRPr="0027424C" w14:paraId="19828FE8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BDE193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SUBTOTAL ANTES DE IMPUESTOS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83BCBD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EC6DB7" w14:textId="77777777" w:rsidR="0027424C" w:rsidRPr="0027424C" w:rsidRDefault="0027424C" w:rsidP="002742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9AACB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A1920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15.460</w:t>
            </w:r>
          </w:p>
        </w:tc>
      </w:tr>
      <w:tr w:rsidR="0027424C" w:rsidRPr="0027424C" w14:paraId="7EE09622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25C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IVA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D6A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13%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E4C0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9144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650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2.010</w:t>
            </w:r>
          </w:p>
        </w:tc>
      </w:tr>
      <w:tr w:rsidR="0027424C" w:rsidRPr="0027424C" w14:paraId="0CF02A1D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85D9" w14:textId="77777777" w:rsidR="0027424C" w:rsidRPr="0027424C" w:rsidRDefault="0027424C" w:rsidP="002742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 xml:space="preserve">IT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9418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5AC0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F4F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F15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color w:val="000000"/>
                <w:kern w:val="0"/>
                <w:lang w:eastAsia="es-ES"/>
                <w14:ligatures w14:val="none"/>
              </w:rPr>
              <w:t>464</w:t>
            </w:r>
          </w:p>
        </w:tc>
      </w:tr>
      <w:tr w:rsidR="0027424C" w:rsidRPr="0027424C" w14:paraId="2130C5ED" w14:textId="77777777" w:rsidTr="0027424C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C5A12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gramStart"/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TOTAL</w:t>
            </w:r>
            <w:proofErr w:type="gramEnd"/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GENERAL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865F1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B9CB4" w14:textId="77777777" w:rsidR="0027424C" w:rsidRPr="0027424C" w:rsidRDefault="0027424C" w:rsidP="002742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76A2D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11072" w14:textId="77777777" w:rsidR="0027424C" w:rsidRPr="0027424C" w:rsidRDefault="0027424C" w:rsidP="00274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7424C">
              <w:rPr>
                <w:rFonts w:eastAsia="Times New Roman" w:cstheme="minorHAnsi"/>
                <w:b/>
                <w:bCs/>
                <w:color w:val="000000"/>
                <w:kern w:val="0"/>
                <w:lang w:eastAsia="es-ES"/>
                <w14:ligatures w14:val="none"/>
              </w:rPr>
              <w:t>17.934</w:t>
            </w:r>
          </w:p>
        </w:tc>
      </w:tr>
    </w:tbl>
    <w:p w14:paraId="6C100479" w14:textId="77777777" w:rsidR="0027424C" w:rsidRDefault="0027424C" w:rsidP="00921339">
      <w:pPr>
        <w:jc w:val="both"/>
      </w:pPr>
    </w:p>
    <w:p w14:paraId="3C79AEB1" w14:textId="77777777" w:rsidR="0027424C" w:rsidRDefault="0027424C" w:rsidP="00921339">
      <w:pPr>
        <w:jc w:val="both"/>
      </w:pPr>
    </w:p>
    <w:sectPr w:rsidR="0027424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E198" w14:textId="77777777" w:rsidR="00F75D8D" w:rsidRDefault="00F75D8D" w:rsidP="00481736">
      <w:pPr>
        <w:spacing w:after="0" w:line="240" w:lineRule="auto"/>
      </w:pPr>
      <w:r>
        <w:separator/>
      </w:r>
    </w:p>
  </w:endnote>
  <w:endnote w:type="continuationSeparator" w:id="0">
    <w:p w14:paraId="62A09CD0" w14:textId="77777777" w:rsidR="00F75D8D" w:rsidRDefault="00F75D8D" w:rsidP="0048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5052357"/>
      <w:docPartObj>
        <w:docPartGallery w:val="Page Numbers (Bottom of Page)"/>
        <w:docPartUnique/>
      </w:docPartObj>
    </w:sdtPr>
    <w:sdtContent>
      <w:p w14:paraId="4D68D7BB" w14:textId="659F2949" w:rsidR="00481736" w:rsidRDefault="004817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846ED" w14:textId="77777777" w:rsidR="00481736" w:rsidRDefault="004817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794B3" w14:textId="77777777" w:rsidR="00F75D8D" w:rsidRDefault="00F75D8D" w:rsidP="00481736">
      <w:pPr>
        <w:spacing w:after="0" w:line="240" w:lineRule="auto"/>
      </w:pPr>
      <w:r>
        <w:separator/>
      </w:r>
    </w:p>
  </w:footnote>
  <w:footnote w:type="continuationSeparator" w:id="0">
    <w:p w14:paraId="1C93F0DB" w14:textId="77777777" w:rsidR="00F75D8D" w:rsidRDefault="00F75D8D" w:rsidP="0048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B02B" w14:textId="73255C5B" w:rsidR="00481736" w:rsidRDefault="00481736">
    <w:pPr>
      <w:pStyle w:val="Encabezado"/>
    </w:pPr>
    <w:r>
      <w:t>martes, 30 de julio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3F69"/>
    <w:multiLevelType w:val="hybridMultilevel"/>
    <w:tmpl w:val="C55AA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327"/>
    <w:multiLevelType w:val="hybridMultilevel"/>
    <w:tmpl w:val="0284BD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9E2"/>
    <w:multiLevelType w:val="hybridMultilevel"/>
    <w:tmpl w:val="40BA6CA6"/>
    <w:lvl w:ilvl="0" w:tplc="E9420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1BA7"/>
    <w:multiLevelType w:val="hybridMultilevel"/>
    <w:tmpl w:val="C55AA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783D"/>
    <w:multiLevelType w:val="hybridMultilevel"/>
    <w:tmpl w:val="C55AA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543"/>
    <w:multiLevelType w:val="hybridMultilevel"/>
    <w:tmpl w:val="C55AA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7F5"/>
    <w:multiLevelType w:val="hybridMultilevel"/>
    <w:tmpl w:val="67C67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1441A"/>
    <w:multiLevelType w:val="hybridMultilevel"/>
    <w:tmpl w:val="C55AA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6007"/>
    <w:multiLevelType w:val="hybridMultilevel"/>
    <w:tmpl w:val="322880A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2332">
    <w:abstractNumId w:val="4"/>
  </w:num>
  <w:num w:numId="2" w16cid:durableId="1910730280">
    <w:abstractNumId w:val="6"/>
  </w:num>
  <w:num w:numId="3" w16cid:durableId="1605070019">
    <w:abstractNumId w:val="7"/>
  </w:num>
  <w:num w:numId="4" w16cid:durableId="264851965">
    <w:abstractNumId w:val="8"/>
  </w:num>
  <w:num w:numId="5" w16cid:durableId="1976791687">
    <w:abstractNumId w:val="2"/>
  </w:num>
  <w:num w:numId="6" w16cid:durableId="1310359479">
    <w:abstractNumId w:val="5"/>
  </w:num>
  <w:num w:numId="7" w16cid:durableId="1709911525">
    <w:abstractNumId w:val="0"/>
  </w:num>
  <w:num w:numId="8" w16cid:durableId="2064866520">
    <w:abstractNumId w:val="3"/>
  </w:num>
  <w:num w:numId="9" w16cid:durableId="93031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ED"/>
    <w:rsid w:val="000522F0"/>
    <w:rsid w:val="000527AB"/>
    <w:rsid w:val="0009253F"/>
    <w:rsid w:val="000A28DF"/>
    <w:rsid w:val="000C2EF5"/>
    <w:rsid w:val="001535A5"/>
    <w:rsid w:val="00167384"/>
    <w:rsid w:val="001D358B"/>
    <w:rsid w:val="0027424C"/>
    <w:rsid w:val="002D1E16"/>
    <w:rsid w:val="002E69D6"/>
    <w:rsid w:val="003425B3"/>
    <w:rsid w:val="003D332A"/>
    <w:rsid w:val="003E3302"/>
    <w:rsid w:val="004340A4"/>
    <w:rsid w:val="004771A5"/>
    <w:rsid w:val="00481736"/>
    <w:rsid w:val="004E2E93"/>
    <w:rsid w:val="00505BB2"/>
    <w:rsid w:val="00577C49"/>
    <w:rsid w:val="005D075E"/>
    <w:rsid w:val="006D0459"/>
    <w:rsid w:val="006D2978"/>
    <w:rsid w:val="00771202"/>
    <w:rsid w:val="00812552"/>
    <w:rsid w:val="0082527C"/>
    <w:rsid w:val="00921339"/>
    <w:rsid w:val="00923E1F"/>
    <w:rsid w:val="009423B3"/>
    <w:rsid w:val="00B02B02"/>
    <w:rsid w:val="00B97904"/>
    <w:rsid w:val="00BF3ADC"/>
    <w:rsid w:val="00C02410"/>
    <w:rsid w:val="00C3796F"/>
    <w:rsid w:val="00C862D8"/>
    <w:rsid w:val="00CB166D"/>
    <w:rsid w:val="00DD5DC0"/>
    <w:rsid w:val="00E027A6"/>
    <w:rsid w:val="00E36749"/>
    <w:rsid w:val="00ED0101"/>
    <w:rsid w:val="00EE4403"/>
    <w:rsid w:val="00F75D8D"/>
    <w:rsid w:val="00F97EBC"/>
    <w:rsid w:val="00FB3BED"/>
    <w:rsid w:val="00FC5C0F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793E"/>
  <w15:chartTrackingRefBased/>
  <w15:docId w15:val="{5627C5EB-67A7-4081-B084-430A82C7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B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B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B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B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B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B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B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BE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4E2E9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D04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459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736"/>
  </w:style>
  <w:style w:type="paragraph" w:styleId="Piedepgina">
    <w:name w:val="footer"/>
    <w:basedOn w:val="Normal"/>
    <w:link w:val="PiedepginaCar"/>
    <w:uiPriority w:val="99"/>
    <w:unhideWhenUsed/>
    <w:rsid w:val="0048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Fon17</b:Tag>
    <b:SourceType>Report</b:SourceType>
    <b:Guid>{F25D35AB-0FBE-4852-A888-7E73E6431FCB}</b:Guid>
    <b:Title>Derechos Sexuales y Derechos Reproductivos, los mas humanos de los Derechos</b:Title>
    <b:Year>2017</b:Year>
    <b:Author>
      <b:Author>
        <b:Corporate>Fondo de las Nacione Unidas para el Desarrollo UNFPA</b:Corporate>
      </b:Author>
    </b:Author>
    <b:Publisher>PRESENCIA SRL</b:Publisher>
    <b:City>La Paz Bolivia</b:City>
    <b:RefOrder>1</b:RefOrder>
  </b:Source>
  <b:Source>
    <b:Tag>Ins16</b:Tag>
    <b:SourceType>Report</b:SourceType>
    <b:Guid>{51A27575-C247-470B-B2A3-F0EA8F44731D}</b:Guid>
    <b:Author>
      <b:Author>
        <b:Corporate>Instituto Nacional de Estadística INE</b:Corporate>
      </b:Author>
    </b:Author>
    <b:Title>Encuesta de Demografía y Salud</b:Title>
    <b:Year>2016</b:Year>
    <b:City>La Paz Bolivia</b:City>
    <b:RefOrder>2</b:RefOrder>
  </b:Source>
  <b:Source>
    <b:Tag>Ali24</b:Tag>
    <b:SourceType>InternetSite</b:SourceType>
    <b:Guid>{0A63C0F1-8EB3-4586-99DC-A53F7BE116A6}</b:Guid>
    <b:Author>
      <b:Author>
        <b:Corporate>Alianza por la Solidaridad</b:Corporate>
      </b:Author>
    </b:Author>
    <b:Title>Ejercicio de los Derechos sexuales y reproductivos en Bolivia</b:Title>
    <b:Year>2024</b:Year>
    <b:URL>https://www.alianzaporlasolidaridad.org/derechos-sexuales-y-reproductivos-en-bolivia</b:URL>
    <b:RefOrder>3</b:RefOrder>
  </b:Source>
  <b:Source>
    <b:Tag>Ipa24</b:Tag>
    <b:SourceType>InternetSite</b:SourceType>
    <b:Guid>{5F630EB4-CA24-417A-9B03-5068EA2014A0}</b:Guid>
    <b:Author>
      <b:Author>
        <b:Corporate>Ipas</b:Corporate>
      </b:Author>
    </b:Author>
    <b:Title>Términos de Referencia</b:Title>
    <b:InternetSiteTitle>Recolección y procesamiento de información en Salud Sexual, Salud Reproductiva </b:InternetSiteTitle>
    <b:Year>2024</b:Year>
    <b:Month>julio</b:Month>
    <b:URL>https://procurement.ipas.org/wp-content/uploads/Terminos-de-Referencia-BO-RQ-2892.pdf</b:URL>
    <b:RefOrder>4</b:RefOrder>
  </b:Source>
</b:Sources>
</file>

<file path=customXml/itemProps1.xml><?xml version="1.0" encoding="utf-8"?>
<ds:datastoreItem xmlns:ds="http://schemas.openxmlformats.org/officeDocument/2006/customXml" ds:itemID="{3EEA0DB4-9242-4BC2-B6C6-52617A79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10</Pages>
  <Words>3193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Zegada</dc:creator>
  <cp:keywords/>
  <dc:description/>
  <cp:lastModifiedBy>Cristian Zegada</cp:lastModifiedBy>
  <cp:revision>16</cp:revision>
  <dcterms:created xsi:type="dcterms:W3CDTF">2024-07-29T11:40:00Z</dcterms:created>
  <dcterms:modified xsi:type="dcterms:W3CDTF">2024-07-31T03:23:00Z</dcterms:modified>
</cp:coreProperties>
</file>